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A963" w14:textId="63196CDB" w:rsidR="00DA363F" w:rsidRDefault="00DA363F" w:rsidP="00365994">
      <w:pPr>
        <w:rPr>
          <w:b/>
          <w:i/>
          <w:sz w:val="28"/>
        </w:rPr>
      </w:pPr>
      <w:r>
        <w:rPr>
          <w:b/>
          <w:i/>
          <w:sz w:val="28"/>
        </w:rPr>
        <w:t xml:space="preserve">FRR </w:t>
      </w:r>
      <w:r w:rsidR="006A1DCC">
        <w:rPr>
          <w:b/>
          <w:i/>
          <w:sz w:val="28"/>
        </w:rPr>
        <w:t>4B</w:t>
      </w:r>
      <w:r>
        <w:rPr>
          <w:b/>
          <w:i/>
          <w:sz w:val="28"/>
        </w:rPr>
        <w:t xml:space="preserve"> Appendix</w:t>
      </w:r>
    </w:p>
    <w:p w14:paraId="4544DD56" w14:textId="00A24CDC" w:rsidR="00365994" w:rsidRPr="00DC5330" w:rsidRDefault="00620FE1" w:rsidP="00365994">
      <w:pPr>
        <w:rPr>
          <w:b/>
          <w:sz w:val="28"/>
        </w:rPr>
      </w:pPr>
      <w:r w:rsidRPr="00725479">
        <w:rPr>
          <w:b/>
          <w:i/>
          <w:sz w:val="28"/>
        </w:rPr>
        <w:t xml:space="preserve">AASB 16 Leases </w:t>
      </w:r>
      <w:r w:rsidR="00DA363F">
        <w:rPr>
          <w:b/>
          <w:i/>
          <w:sz w:val="28"/>
        </w:rPr>
        <w:t xml:space="preserve">- </w:t>
      </w:r>
      <w:r w:rsidR="00725479">
        <w:rPr>
          <w:b/>
          <w:sz w:val="28"/>
        </w:rPr>
        <w:t>Contract Review C</w:t>
      </w:r>
      <w:r w:rsidRPr="00DC5330">
        <w:rPr>
          <w:b/>
          <w:sz w:val="28"/>
        </w:rPr>
        <w:t>hecklist</w:t>
      </w:r>
      <w:r w:rsidR="00725479">
        <w:rPr>
          <w:b/>
          <w:sz w:val="28"/>
        </w:rPr>
        <w:t xml:space="preserve"> and Data Collection Worksheet</w:t>
      </w:r>
    </w:p>
    <w:p w14:paraId="2BE94C93" w14:textId="77777777" w:rsidR="001348BB" w:rsidRDefault="001348BB">
      <w:pPr>
        <w:spacing w:before="60" w:after="60"/>
      </w:pPr>
    </w:p>
    <w:p w14:paraId="3398FE75" w14:textId="6128667F" w:rsidR="001348BB" w:rsidRPr="00B21F3F" w:rsidRDefault="00B21F3F">
      <w:pPr>
        <w:spacing w:before="60" w:after="60"/>
        <w:rPr>
          <w:b/>
        </w:rPr>
      </w:pPr>
      <w:r w:rsidRPr="00B21F3F">
        <w:rPr>
          <w:b/>
        </w:rPr>
        <w:t>Introduction</w:t>
      </w:r>
    </w:p>
    <w:p w14:paraId="65F0F4D8" w14:textId="62EEC943" w:rsidR="00B21F3F" w:rsidRDefault="00B21F3F">
      <w:pPr>
        <w:spacing w:before="60" w:after="60"/>
      </w:pPr>
    </w:p>
    <w:p w14:paraId="5EAA5B80" w14:textId="71A99E5C" w:rsidR="008C6376" w:rsidRPr="008D09BB" w:rsidRDefault="008C6376" w:rsidP="008C6376">
      <w:pPr>
        <w:spacing w:before="0" w:after="200" w:line="276" w:lineRule="auto"/>
        <w:rPr>
          <w:color w:val="FF0000"/>
        </w:rPr>
      </w:pPr>
      <w:r>
        <w:t xml:space="preserve">Treasury has developed the </w:t>
      </w:r>
      <w:r w:rsidR="0084038C">
        <w:rPr>
          <w:i/>
        </w:rPr>
        <w:t xml:space="preserve">AASB 16 </w:t>
      </w:r>
      <w:r w:rsidRPr="008D09BB">
        <w:rPr>
          <w:i/>
        </w:rPr>
        <w:t>Leases Contract Review and Data Collection Worksheet</w:t>
      </w:r>
      <w:r>
        <w:rPr>
          <w:i/>
        </w:rPr>
        <w:t xml:space="preserve"> </w:t>
      </w:r>
      <w:r w:rsidRPr="005B4AE3">
        <w:t>to assist</w:t>
      </w:r>
      <w:r>
        <w:t xml:space="preserve"> agencies in reviewing their </w:t>
      </w:r>
      <w:r w:rsidR="0084038C">
        <w:t xml:space="preserve">lease </w:t>
      </w:r>
      <w:r>
        <w:t>contracts</w:t>
      </w:r>
      <w:r w:rsidR="003C5BC2">
        <w:t xml:space="preserve"> against the requirements of the new leasing Standard.</w:t>
      </w:r>
    </w:p>
    <w:tbl>
      <w:tblPr>
        <w:tblStyle w:val="TableGrid"/>
        <w:tblW w:w="0" w:type="auto"/>
        <w:tblLook w:val="04A0" w:firstRow="1" w:lastRow="0" w:firstColumn="1" w:lastColumn="0" w:noHBand="0" w:noVBand="1"/>
      </w:tblPr>
      <w:tblGrid>
        <w:gridCol w:w="2354"/>
        <w:gridCol w:w="7845"/>
      </w:tblGrid>
      <w:tr w:rsidR="008C6376" w14:paraId="3ECD418C" w14:textId="77777777" w:rsidTr="00036663">
        <w:trPr>
          <w:cantSplit/>
          <w:tblHeader/>
        </w:trPr>
        <w:tc>
          <w:tcPr>
            <w:tcW w:w="2376" w:type="dxa"/>
            <w:tcBorders>
              <w:top w:val="nil"/>
              <w:left w:val="nil"/>
            </w:tcBorders>
          </w:tcPr>
          <w:p w14:paraId="4885220E" w14:textId="77777777" w:rsidR="008C6376" w:rsidRDefault="008C6376" w:rsidP="00036663">
            <w:pPr>
              <w:spacing w:before="0" w:after="200" w:line="276" w:lineRule="auto"/>
            </w:pPr>
          </w:p>
        </w:tc>
        <w:tc>
          <w:tcPr>
            <w:tcW w:w="8044" w:type="dxa"/>
            <w:shd w:val="clear" w:color="auto" w:fill="000000" w:themeFill="text1"/>
            <w:vAlign w:val="center"/>
          </w:tcPr>
          <w:p w14:paraId="367843C9" w14:textId="77777777" w:rsidR="008C6376" w:rsidRPr="004F2744" w:rsidRDefault="008C6376" w:rsidP="00036663">
            <w:pPr>
              <w:spacing w:before="0" w:after="0" w:line="276" w:lineRule="auto"/>
              <w:jc w:val="center"/>
              <w:rPr>
                <w:b/>
                <w:color w:val="FFFFFF" w:themeColor="background1"/>
              </w:rPr>
            </w:pPr>
            <w:r w:rsidRPr="004F2744">
              <w:rPr>
                <w:b/>
                <w:color w:val="FFFFFF" w:themeColor="background1"/>
              </w:rPr>
              <w:t>Guidance</w:t>
            </w:r>
          </w:p>
        </w:tc>
      </w:tr>
      <w:tr w:rsidR="008C6376" w14:paraId="22F7D42C" w14:textId="77777777" w:rsidTr="00036663">
        <w:trPr>
          <w:cantSplit/>
        </w:trPr>
        <w:tc>
          <w:tcPr>
            <w:tcW w:w="2376" w:type="dxa"/>
          </w:tcPr>
          <w:p w14:paraId="6358754B" w14:textId="77777777" w:rsidR="008C6376" w:rsidRDefault="008C6376" w:rsidP="00036663">
            <w:pPr>
              <w:spacing w:before="0" w:after="200" w:line="276" w:lineRule="auto"/>
            </w:pPr>
            <w:r>
              <w:t>Is there a lease?</w:t>
            </w:r>
          </w:p>
        </w:tc>
        <w:tc>
          <w:tcPr>
            <w:tcW w:w="8044" w:type="dxa"/>
          </w:tcPr>
          <w:p w14:paraId="5398AB7E" w14:textId="77777777" w:rsidR="008C6376" w:rsidRDefault="008C6376" w:rsidP="00036663">
            <w:pPr>
              <w:spacing w:before="0" w:after="200" w:line="276" w:lineRule="auto"/>
            </w:pPr>
            <w:r>
              <w:t>When reviewing contracts, agencies should endeavour to understand and apply the new lease identification requirements and guidance in AASB 16. Even though agencies are not required to reassess this particular aspect on transition, this knowledge will help agencies in the future when re-negotiating leases and entering into new contracts.</w:t>
            </w:r>
          </w:p>
        </w:tc>
      </w:tr>
      <w:tr w:rsidR="008C6376" w14:paraId="1793373B" w14:textId="77777777" w:rsidTr="00036663">
        <w:trPr>
          <w:cantSplit/>
        </w:trPr>
        <w:tc>
          <w:tcPr>
            <w:tcW w:w="2376" w:type="dxa"/>
          </w:tcPr>
          <w:p w14:paraId="189355D5" w14:textId="77777777" w:rsidR="008C6376" w:rsidRDefault="008C6376" w:rsidP="00036663">
            <w:pPr>
              <w:spacing w:before="0" w:after="200" w:line="276" w:lineRule="auto"/>
            </w:pPr>
            <w:r>
              <w:t>Value of the leased asset</w:t>
            </w:r>
          </w:p>
        </w:tc>
        <w:tc>
          <w:tcPr>
            <w:tcW w:w="8044" w:type="dxa"/>
          </w:tcPr>
          <w:p w14:paraId="6750888B" w14:textId="77777777" w:rsidR="008C6376" w:rsidRDefault="008C6376" w:rsidP="00036663">
            <w:pPr>
              <w:spacing w:before="0" w:after="200" w:line="276" w:lineRule="auto"/>
            </w:pPr>
            <w:r>
              <w:t>If the asset, when new, would normally cost less than $10,000, the agency has a choice of applying the low-value asset exemption and account for the lease similar to current operating lease accounting. Examples of low-value assets include tablets, personal computers, small items of office furniture and phones.</w:t>
            </w:r>
          </w:p>
        </w:tc>
      </w:tr>
      <w:tr w:rsidR="008C6376" w14:paraId="4E3F644B" w14:textId="77777777" w:rsidTr="00036663">
        <w:trPr>
          <w:cantSplit/>
        </w:trPr>
        <w:tc>
          <w:tcPr>
            <w:tcW w:w="2376" w:type="dxa"/>
          </w:tcPr>
          <w:p w14:paraId="05BA9A25" w14:textId="77777777" w:rsidR="008C6376" w:rsidRDefault="008C6376" w:rsidP="00036663">
            <w:pPr>
              <w:spacing w:before="0" w:after="200" w:line="276" w:lineRule="auto"/>
            </w:pPr>
            <w:r>
              <w:t>Commencement date</w:t>
            </w:r>
          </w:p>
        </w:tc>
        <w:tc>
          <w:tcPr>
            <w:tcW w:w="8044" w:type="dxa"/>
          </w:tcPr>
          <w:p w14:paraId="62B82A66" w14:textId="77777777" w:rsidR="008C6376" w:rsidRDefault="008C6376" w:rsidP="00036663">
            <w:pPr>
              <w:spacing w:before="0" w:after="200" w:line="276" w:lineRule="auto"/>
            </w:pPr>
            <w:r>
              <w:t>This is the date the underlying asset is made available for use, and usually corresponds with the commencement date as specified in the lease agreement. This is not the date that the lease contract is signed.</w:t>
            </w:r>
          </w:p>
        </w:tc>
      </w:tr>
      <w:tr w:rsidR="008C6376" w14:paraId="55C9F593" w14:textId="77777777" w:rsidTr="00036663">
        <w:trPr>
          <w:cantSplit/>
        </w:trPr>
        <w:tc>
          <w:tcPr>
            <w:tcW w:w="2376" w:type="dxa"/>
          </w:tcPr>
          <w:p w14:paraId="70F777E5" w14:textId="77777777" w:rsidR="008C6376" w:rsidRDefault="008C6376" w:rsidP="00036663">
            <w:pPr>
              <w:spacing w:before="0" w:after="200" w:line="276" w:lineRule="auto"/>
            </w:pPr>
            <w:r>
              <w:t>Lease term</w:t>
            </w:r>
          </w:p>
        </w:tc>
        <w:tc>
          <w:tcPr>
            <w:tcW w:w="8044" w:type="dxa"/>
          </w:tcPr>
          <w:p w14:paraId="60BF868C" w14:textId="77777777" w:rsidR="008C6376" w:rsidRDefault="008C6376" w:rsidP="00036663">
            <w:pPr>
              <w:spacing w:before="0" w:after="200" w:line="276" w:lineRule="auto"/>
            </w:pPr>
            <w:r>
              <w:t xml:space="preserve">In addition to the lease term or lease end date stated in the agreement, agencies should also look for any clauses that allow for early termination of the lease and whether there are significant penalties attached. This will allow agencies to accurately determine the non-cancellable period. Any periods beyond the non-cancellable period would need to meet the ‘reasonably certain’ threshold to be included in the lease term. </w:t>
            </w:r>
          </w:p>
          <w:p w14:paraId="28E08B38" w14:textId="7AA7EF34" w:rsidR="008C6376" w:rsidRPr="00684C9B" w:rsidRDefault="008C6376" w:rsidP="005170F9">
            <w:pPr>
              <w:spacing w:before="0" w:after="200" w:line="276" w:lineRule="auto"/>
            </w:pPr>
            <w:r>
              <w:t xml:space="preserve">If the lease term is determined to be 12 months or less, remember to apply the short-term </w:t>
            </w:r>
            <w:r w:rsidR="0084038C">
              <w:t xml:space="preserve">lease </w:t>
            </w:r>
            <w:r>
              <w:t>exemption.</w:t>
            </w:r>
          </w:p>
        </w:tc>
      </w:tr>
      <w:tr w:rsidR="008C6376" w14:paraId="22E98F2D" w14:textId="77777777" w:rsidTr="00036663">
        <w:trPr>
          <w:cantSplit/>
        </w:trPr>
        <w:tc>
          <w:tcPr>
            <w:tcW w:w="2376" w:type="dxa"/>
          </w:tcPr>
          <w:p w14:paraId="3FDEDBA6" w14:textId="77777777" w:rsidR="008C6376" w:rsidRDefault="008C6376" w:rsidP="00036663">
            <w:pPr>
              <w:spacing w:before="0" w:after="200" w:line="276" w:lineRule="auto"/>
            </w:pPr>
            <w:r>
              <w:t>Lease incentives</w:t>
            </w:r>
          </w:p>
        </w:tc>
        <w:tc>
          <w:tcPr>
            <w:tcW w:w="8044" w:type="dxa"/>
          </w:tcPr>
          <w:p w14:paraId="32D04821" w14:textId="30EB4A40" w:rsidR="008C6376" w:rsidRPr="00684C9B" w:rsidRDefault="008C6376" w:rsidP="005170F9">
            <w:pPr>
              <w:spacing w:before="0" w:after="200" w:line="276" w:lineRule="auto"/>
            </w:pPr>
            <w:r>
              <w:t xml:space="preserve">Lease incentives are cash payments from the lessor and the lessee’s costs assumed or reimbursed by the lessor. Lease incentives to be received </w:t>
            </w:r>
            <w:r w:rsidR="0084038C">
              <w:t xml:space="preserve">in the future </w:t>
            </w:r>
            <w:r>
              <w:t>are subtracted from the lease payments used to calculate the lease liability. Any rent-free periods should also be reflected directly in the lease payments used to calculate the lease liability. Lease incentives already received</w:t>
            </w:r>
            <w:r w:rsidR="005170F9">
              <w:t xml:space="preserve"> by commencement date</w:t>
            </w:r>
            <w:r>
              <w:t xml:space="preserve"> are subtracted from the initial measurement of the right-of-use asset.</w:t>
            </w:r>
          </w:p>
        </w:tc>
      </w:tr>
      <w:tr w:rsidR="008C6376" w14:paraId="23805295" w14:textId="77777777" w:rsidTr="00036663">
        <w:trPr>
          <w:cantSplit/>
        </w:trPr>
        <w:tc>
          <w:tcPr>
            <w:tcW w:w="2376" w:type="dxa"/>
          </w:tcPr>
          <w:p w14:paraId="752684F7" w14:textId="77777777" w:rsidR="008C6376" w:rsidRDefault="008C6376" w:rsidP="00036663">
            <w:pPr>
              <w:spacing w:before="0" w:after="200" w:line="276" w:lineRule="auto"/>
            </w:pPr>
            <w:r>
              <w:t>Non-lease components</w:t>
            </w:r>
          </w:p>
        </w:tc>
        <w:tc>
          <w:tcPr>
            <w:tcW w:w="8044" w:type="dxa"/>
          </w:tcPr>
          <w:p w14:paraId="61C7ECD7" w14:textId="77777777" w:rsidR="008C6376" w:rsidRDefault="008C6376" w:rsidP="00036663">
            <w:pPr>
              <w:spacing w:before="0" w:after="200" w:line="276" w:lineRule="auto"/>
            </w:pPr>
            <w:r>
              <w:t>Agencies will need to identify any non-lease components (e.g. cleaning, maintenance, consumables, operating expenses) and exclude payments relating to those components from the calculation of the lease liability. If there is an insufficient breakdown of the payments in the contract, the agency can either ask the lessor to provide the information (if practical), or allocate the payments based on an estimate of the stand-alone prices of the lease and non-lease components. Payments for non-lease components are typically expensed when incurred.</w:t>
            </w:r>
          </w:p>
          <w:p w14:paraId="7407E691" w14:textId="6FB15C9A" w:rsidR="008C6376" w:rsidRPr="00684C9B" w:rsidRDefault="008C6376" w:rsidP="005170F9">
            <w:pPr>
              <w:spacing w:before="0" w:after="200" w:line="276" w:lineRule="auto"/>
            </w:pPr>
            <w:r>
              <w:t>The exception is for leases of plant and equipment (an asset class defined in NCAP 1). Treasury’s policy for these leases is that agencies shall not separate out non-lease components. This means payments for the non-lease components are included in the measurement of the lease liability, and consequently the right-of-use asset.</w:t>
            </w:r>
          </w:p>
        </w:tc>
      </w:tr>
      <w:tr w:rsidR="008C6376" w14:paraId="155E9AB6" w14:textId="77777777" w:rsidTr="00036663">
        <w:trPr>
          <w:cantSplit/>
        </w:trPr>
        <w:tc>
          <w:tcPr>
            <w:tcW w:w="2376" w:type="dxa"/>
          </w:tcPr>
          <w:p w14:paraId="0CECD727" w14:textId="77777777" w:rsidR="008C6376" w:rsidRDefault="008C6376" w:rsidP="00036663">
            <w:pPr>
              <w:spacing w:before="0" w:after="200" w:line="276" w:lineRule="auto"/>
            </w:pPr>
            <w:r>
              <w:lastRenderedPageBreak/>
              <w:t>Interest rate implicit in the lease</w:t>
            </w:r>
          </w:p>
        </w:tc>
        <w:tc>
          <w:tcPr>
            <w:tcW w:w="8044" w:type="dxa"/>
          </w:tcPr>
          <w:p w14:paraId="7506AF68" w14:textId="77777777" w:rsidR="008C6376" w:rsidRDefault="008C6376" w:rsidP="00036663">
            <w:pPr>
              <w:spacing w:before="0" w:after="200" w:line="276" w:lineRule="auto"/>
            </w:pPr>
            <w:r>
              <w:t xml:space="preserve">If the discount rate is specified in the lease agreement, agencies should record it. However, this rate will </w:t>
            </w:r>
            <w:r w:rsidRPr="008D09BB">
              <w:rPr>
                <w:u w:val="single"/>
              </w:rPr>
              <w:t>not</w:t>
            </w:r>
            <w:r>
              <w:t xml:space="preserve"> be used to calculate the lease liability on transition, the agency’s incremental borrowing rate will be used instead. If, after the date of initial application of AASB 16, the lease term is revised or the lease is modified, the specified rate may be used as the revised discount rate if it still reflects the implicit rate for the remainder of the lease term.</w:t>
            </w:r>
          </w:p>
          <w:p w14:paraId="1C842A7C" w14:textId="77777777" w:rsidR="008C6376" w:rsidRDefault="008C6376" w:rsidP="00036663">
            <w:pPr>
              <w:spacing w:before="0" w:after="200" w:line="276" w:lineRule="auto"/>
            </w:pPr>
            <w:r>
              <w:t>The interest rate implicit in the lease (if spe</w:t>
            </w:r>
            <w:bookmarkStart w:id="0" w:name="_GoBack"/>
            <w:bookmarkEnd w:id="0"/>
            <w:r>
              <w:t>cified) will be used as the discount rate for new leases that commence after AASB 16 becomes effective.</w:t>
            </w:r>
          </w:p>
        </w:tc>
      </w:tr>
      <w:tr w:rsidR="008C6376" w14:paraId="5A144C03" w14:textId="77777777" w:rsidTr="00036663">
        <w:trPr>
          <w:cantSplit/>
        </w:trPr>
        <w:tc>
          <w:tcPr>
            <w:tcW w:w="2376" w:type="dxa"/>
          </w:tcPr>
          <w:p w14:paraId="6961EC6A" w14:textId="77777777" w:rsidR="008C6376" w:rsidRDefault="008C6376" w:rsidP="00036663">
            <w:pPr>
              <w:spacing w:before="0" w:after="200" w:line="276" w:lineRule="auto"/>
            </w:pPr>
            <w:r>
              <w:t>Make good clauses</w:t>
            </w:r>
          </w:p>
        </w:tc>
        <w:tc>
          <w:tcPr>
            <w:tcW w:w="8044" w:type="dxa"/>
          </w:tcPr>
          <w:p w14:paraId="6CB79677" w14:textId="77777777" w:rsidR="008C6376" w:rsidRDefault="008C6376" w:rsidP="00036663">
            <w:pPr>
              <w:spacing w:before="0" w:after="200" w:line="276" w:lineRule="auto"/>
            </w:pPr>
            <w:r>
              <w:t>Agencies should review make good clauses to assess whether any restoration provision should be recorded. The amount of any such provision is included in the cost of the right-of-use asset.</w:t>
            </w:r>
          </w:p>
        </w:tc>
      </w:tr>
      <w:tr w:rsidR="008C6376" w14:paraId="2BBB90B2" w14:textId="77777777" w:rsidTr="00036663">
        <w:trPr>
          <w:cantSplit/>
        </w:trPr>
        <w:tc>
          <w:tcPr>
            <w:tcW w:w="2376" w:type="dxa"/>
          </w:tcPr>
          <w:p w14:paraId="57B507CC" w14:textId="77777777" w:rsidR="008C6376" w:rsidRDefault="008C6376" w:rsidP="00036663">
            <w:pPr>
              <w:spacing w:before="0" w:after="200" w:line="276" w:lineRule="auto"/>
            </w:pPr>
            <w:r>
              <w:t>Past lease payments and expenses</w:t>
            </w:r>
          </w:p>
        </w:tc>
        <w:tc>
          <w:tcPr>
            <w:tcW w:w="8044" w:type="dxa"/>
          </w:tcPr>
          <w:p w14:paraId="56F90ED9" w14:textId="77777777" w:rsidR="008C6376" w:rsidRDefault="008C6376" w:rsidP="00036663">
            <w:pPr>
              <w:spacing w:before="0" w:after="200" w:line="276" w:lineRule="auto"/>
            </w:pPr>
            <w:r>
              <w:t>If the agency elects to use the transition option in paragraph C8(b)(</w:t>
            </w:r>
            <w:proofErr w:type="spellStart"/>
            <w:r>
              <w:t>i</w:t>
            </w:r>
            <w:proofErr w:type="spellEnd"/>
            <w:r>
              <w:t>) – see Transition section above, it will need to collect information about past lease payments, including payments made before lease commencement and variable rent increases that have occurred to date. The agency may exclude initial direct costs, as permitted by C10(d).</w:t>
            </w:r>
          </w:p>
        </w:tc>
      </w:tr>
    </w:tbl>
    <w:p w14:paraId="7DABFE74" w14:textId="77777777" w:rsidR="00B21F3F" w:rsidRDefault="00B21F3F" w:rsidP="00D63777">
      <w:pPr>
        <w:spacing w:line="276" w:lineRule="auto"/>
      </w:pPr>
    </w:p>
    <w:p w14:paraId="129ACB34" w14:textId="2E9C6306" w:rsidR="001348BB" w:rsidRDefault="003C5BC2" w:rsidP="00D63777">
      <w:pPr>
        <w:spacing w:line="276" w:lineRule="auto"/>
      </w:pPr>
      <w:r>
        <w:t xml:space="preserve">The checklist should be read and applied in conjunction with AASB 16 and Queensland Treasury’s </w:t>
      </w:r>
      <w:r w:rsidR="006A1DCC">
        <w:t>Financial Reporting Requirements</w:t>
      </w:r>
      <w:r>
        <w:t xml:space="preserve"> FRR </w:t>
      </w:r>
      <w:r w:rsidR="006A1DCC">
        <w:t>4B.9.</w:t>
      </w:r>
      <w:r w:rsidR="001348BB">
        <w:br w:type="page"/>
      </w:r>
    </w:p>
    <w:p w14:paraId="491098BF" w14:textId="77777777" w:rsidR="00B21F3F" w:rsidRPr="00725479" w:rsidRDefault="00B21F3F" w:rsidP="00B21F3F">
      <w:pPr>
        <w:rPr>
          <w:b/>
          <w:i/>
          <w:sz w:val="28"/>
        </w:rPr>
      </w:pPr>
      <w:r w:rsidRPr="00725479">
        <w:rPr>
          <w:b/>
          <w:i/>
          <w:sz w:val="28"/>
        </w:rPr>
        <w:lastRenderedPageBreak/>
        <w:t xml:space="preserve">AASB 16 Leases </w:t>
      </w:r>
    </w:p>
    <w:p w14:paraId="1CC0C336" w14:textId="77777777" w:rsidR="00B21F3F" w:rsidRPr="00DC5330" w:rsidRDefault="00B21F3F" w:rsidP="00B21F3F">
      <w:pPr>
        <w:rPr>
          <w:b/>
          <w:sz w:val="28"/>
        </w:rPr>
      </w:pPr>
      <w:r>
        <w:rPr>
          <w:b/>
          <w:sz w:val="28"/>
        </w:rPr>
        <w:t>Contract Review C</w:t>
      </w:r>
      <w:r w:rsidRPr="00DC5330">
        <w:rPr>
          <w:b/>
          <w:sz w:val="28"/>
        </w:rPr>
        <w:t>hecklist</w:t>
      </w:r>
      <w:r>
        <w:rPr>
          <w:b/>
          <w:sz w:val="28"/>
        </w:rPr>
        <w:t xml:space="preserve"> and Data Collection Worksheet</w:t>
      </w:r>
    </w:p>
    <w:p w14:paraId="44C0A8D7" w14:textId="77777777" w:rsidR="00620FE1" w:rsidRDefault="00620FE1" w:rsidP="00365994"/>
    <w:tbl>
      <w:tblPr>
        <w:tblStyle w:val="TableGrid"/>
        <w:tblW w:w="10201" w:type="dxa"/>
        <w:tblLook w:val="04A0" w:firstRow="1" w:lastRow="0" w:firstColumn="1" w:lastColumn="0" w:noHBand="0" w:noVBand="1"/>
      </w:tblPr>
      <w:tblGrid>
        <w:gridCol w:w="2972"/>
        <w:gridCol w:w="7229"/>
      </w:tblGrid>
      <w:tr w:rsidR="00725479" w:rsidRPr="00DF2114" w14:paraId="32CE844F" w14:textId="77777777" w:rsidTr="00725479">
        <w:trPr>
          <w:cantSplit/>
        </w:trPr>
        <w:tc>
          <w:tcPr>
            <w:tcW w:w="2972" w:type="dxa"/>
            <w:shd w:val="clear" w:color="auto" w:fill="auto"/>
          </w:tcPr>
          <w:p w14:paraId="72B1999D" w14:textId="77777777" w:rsidR="00725479" w:rsidRPr="00DF2114" w:rsidRDefault="00725479" w:rsidP="00036663">
            <w:r>
              <w:t>Asset code / serial number</w:t>
            </w:r>
          </w:p>
        </w:tc>
        <w:tc>
          <w:tcPr>
            <w:tcW w:w="7229" w:type="dxa"/>
            <w:shd w:val="clear" w:color="auto" w:fill="auto"/>
          </w:tcPr>
          <w:p w14:paraId="225F084F" w14:textId="77777777" w:rsidR="00725479" w:rsidRPr="00DF2114" w:rsidRDefault="00725479" w:rsidP="00036663"/>
        </w:tc>
      </w:tr>
      <w:tr w:rsidR="00725479" w:rsidRPr="00DF2114" w14:paraId="72A36F8C" w14:textId="77777777" w:rsidTr="00725479">
        <w:trPr>
          <w:cantSplit/>
        </w:trPr>
        <w:tc>
          <w:tcPr>
            <w:tcW w:w="2972" w:type="dxa"/>
            <w:shd w:val="clear" w:color="auto" w:fill="auto"/>
          </w:tcPr>
          <w:p w14:paraId="37B69AB9" w14:textId="77777777" w:rsidR="00725479" w:rsidRPr="00DF2114" w:rsidRDefault="00725479" w:rsidP="00036663">
            <w:r>
              <w:t>Asset name</w:t>
            </w:r>
          </w:p>
        </w:tc>
        <w:tc>
          <w:tcPr>
            <w:tcW w:w="7229" w:type="dxa"/>
            <w:shd w:val="clear" w:color="auto" w:fill="auto"/>
          </w:tcPr>
          <w:p w14:paraId="735A84BE" w14:textId="77777777" w:rsidR="00725479" w:rsidRPr="00DF2114" w:rsidRDefault="00725479" w:rsidP="00036663"/>
        </w:tc>
      </w:tr>
      <w:tr w:rsidR="00725479" w:rsidRPr="00DF2114" w14:paraId="1846DE6B" w14:textId="77777777" w:rsidTr="00725479">
        <w:trPr>
          <w:cantSplit/>
        </w:trPr>
        <w:tc>
          <w:tcPr>
            <w:tcW w:w="2972" w:type="dxa"/>
            <w:shd w:val="clear" w:color="auto" w:fill="auto"/>
          </w:tcPr>
          <w:p w14:paraId="6FE349CE" w14:textId="36E6C691" w:rsidR="00725479" w:rsidRDefault="00725479" w:rsidP="00725479">
            <w:r>
              <w:t>Asset location</w:t>
            </w:r>
          </w:p>
        </w:tc>
        <w:tc>
          <w:tcPr>
            <w:tcW w:w="7229" w:type="dxa"/>
            <w:shd w:val="clear" w:color="auto" w:fill="auto"/>
          </w:tcPr>
          <w:p w14:paraId="7D935593" w14:textId="77777777" w:rsidR="00725479" w:rsidRPr="00DF2114" w:rsidRDefault="00725479" w:rsidP="00725479"/>
        </w:tc>
      </w:tr>
      <w:tr w:rsidR="00725479" w:rsidRPr="00DF2114" w14:paraId="4B074060" w14:textId="77777777" w:rsidTr="00725479">
        <w:trPr>
          <w:cantSplit/>
        </w:trPr>
        <w:tc>
          <w:tcPr>
            <w:tcW w:w="2972" w:type="dxa"/>
            <w:shd w:val="clear" w:color="auto" w:fill="auto"/>
          </w:tcPr>
          <w:p w14:paraId="5EC5AD17" w14:textId="0F8001C0" w:rsidR="00725479" w:rsidRDefault="00725479" w:rsidP="00725479">
            <w:r>
              <w:t>Lessor</w:t>
            </w:r>
          </w:p>
        </w:tc>
        <w:tc>
          <w:tcPr>
            <w:tcW w:w="7229" w:type="dxa"/>
            <w:shd w:val="clear" w:color="auto" w:fill="auto"/>
          </w:tcPr>
          <w:p w14:paraId="608E3800" w14:textId="77777777" w:rsidR="00725479" w:rsidRPr="00DF2114" w:rsidRDefault="00725479" w:rsidP="00725479"/>
        </w:tc>
      </w:tr>
    </w:tbl>
    <w:p w14:paraId="7B597E6C" w14:textId="77777777" w:rsidR="00725479" w:rsidRDefault="00725479" w:rsidP="00365994"/>
    <w:tbl>
      <w:tblPr>
        <w:tblStyle w:val="TableGrid"/>
        <w:tblW w:w="10201" w:type="dxa"/>
        <w:tblLook w:val="04A0" w:firstRow="1" w:lastRow="0" w:firstColumn="1" w:lastColumn="0" w:noHBand="0" w:noVBand="1"/>
      </w:tblPr>
      <w:tblGrid>
        <w:gridCol w:w="563"/>
        <w:gridCol w:w="5352"/>
        <w:gridCol w:w="1050"/>
        <w:gridCol w:w="3236"/>
      </w:tblGrid>
      <w:tr w:rsidR="00725479" w14:paraId="73F460E3" w14:textId="6D0B3B86" w:rsidTr="00725479">
        <w:trPr>
          <w:cantSplit/>
          <w:tblHeader/>
        </w:trPr>
        <w:tc>
          <w:tcPr>
            <w:tcW w:w="563" w:type="dxa"/>
            <w:shd w:val="clear" w:color="auto" w:fill="BFBFBF" w:themeFill="background1" w:themeFillShade="BF"/>
          </w:tcPr>
          <w:p w14:paraId="07D459B0" w14:textId="3CD8634B" w:rsidR="00DF2114" w:rsidRPr="007D6681" w:rsidRDefault="00DF2114" w:rsidP="00365994">
            <w:pPr>
              <w:rPr>
                <w:b/>
              </w:rPr>
            </w:pPr>
          </w:p>
        </w:tc>
        <w:tc>
          <w:tcPr>
            <w:tcW w:w="5352" w:type="dxa"/>
            <w:shd w:val="clear" w:color="auto" w:fill="BFBFBF" w:themeFill="background1" w:themeFillShade="BF"/>
          </w:tcPr>
          <w:p w14:paraId="55AEA50D" w14:textId="13276356" w:rsidR="00DF2114" w:rsidRPr="007D6681" w:rsidRDefault="00BA7D09" w:rsidP="00365994">
            <w:pPr>
              <w:rPr>
                <w:b/>
              </w:rPr>
            </w:pPr>
            <w:r>
              <w:rPr>
                <w:b/>
              </w:rPr>
              <w:t>Check point</w:t>
            </w:r>
          </w:p>
        </w:tc>
        <w:tc>
          <w:tcPr>
            <w:tcW w:w="1050" w:type="dxa"/>
            <w:shd w:val="clear" w:color="auto" w:fill="BFBFBF" w:themeFill="background1" w:themeFillShade="BF"/>
          </w:tcPr>
          <w:p w14:paraId="27FEC5BB" w14:textId="77777777" w:rsidR="00DF2114" w:rsidRPr="007D6681" w:rsidRDefault="00DF2114" w:rsidP="00365994">
            <w:pPr>
              <w:rPr>
                <w:b/>
              </w:rPr>
            </w:pPr>
            <w:r w:rsidRPr="007D6681">
              <w:rPr>
                <w:b/>
              </w:rPr>
              <w:t>Ref</w:t>
            </w:r>
          </w:p>
        </w:tc>
        <w:tc>
          <w:tcPr>
            <w:tcW w:w="3236" w:type="dxa"/>
            <w:shd w:val="clear" w:color="auto" w:fill="BFBFBF" w:themeFill="background1" w:themeFillShade="BF"/>
          </w:tcPr>
          <w:p w14:paraId="62F769CE" w14:textId="7ED662FF" w:rsidR="00DF2114" w:rsidRPr="007D6681" w:rsidRDefault="00725479" w:rsidP="00365994">
            <w:pPr>
              <w:rPr>
                <w:b/>
              </w:rPr>
            </w:pPr>
            <w:r>
              <w:rPr>
                <w:b/>
              </w:rPr>
              <w:t>Documentation</w:t>
            </w:r>
          </w:p>
        </w:tc>
      </w:tr>
      <w:tr w:rsidR="00725479" w14:paraId="207C02E3" w14:textId="301E34FB" w:rsidTr="00725479">
        <w:trPr>
          <w:cantSplit/>
        </w:trPr>
        <w:tc>
          <w:tcPr>
            <w:tcW w:w="563" w:type="dxa"/>
            <w:shd w:val="clear" w:color="auto" w:fill="F2F2F2" w:themeFill="background1" w:themeFillShade="F2"/>
          </w:tcPr>
          <w:p w14:paraId="29445893" w14:textId="1FDF0E17" w:rsidR="00DF2114" w:rsidRPr="004A224B" w:rsidRDefault="00DF2114" w:rsidP="00365994">
            <w:pPr>
              <w:rPr>
                <w:b/>
              </w:rPr>
            </w:pPr>
            <w:r w:rsidRPr="004A224B">
              <w:rPr>
                <w:b/>
              </w:rPr>
              <w:t>1</w:t>
            </w:r>
          </w:p>
        </w:tc>
        <w:tc>
          <w:tcPr>
            <w:tcW w:w="5352" w:type="dxa"/>
            <w:shd w:val="clear" w:color="auto" w:fill="F2F2F2" w:themeFill="background1" w:themeFillShade="F2"/>
          </w:tcPr>
          <w:p w14:paraId="37FCD686" w14:textId="77777777" w:rsidR="00DF2114" w:rsidRDefault="00DF2114" w:rsidP="00365994">
            <w:pPr>
              <w:rPr>
                <w:b/>
              </w:rPr>
            </w:pPr>
            <w:r w:rsidRPr="004A224B">
              <w:rPr>
                <w:b/>
              </w:rPr>
              <w:t>Scope – Is there a lease?</w:t>
            </w:r>
          </w:p>
          <w:p w14:paraId="3E06C1B7" w14:textId="08DBE581" w:rsidR="00DF2114" w:rsidRPr="00DC5330" w:rsidRDefault="00DF2114" w:rsidP="00365994">
            <w:pPr>
              <w:rPr>
                <w:i/>
              </w:rPr>
            </w:pPr>
            <w:r w:rsidRPr="00FE2C4C">
              <w:rPr>
                <w:i/>
              </w:rPr>
              <w:t>Note:</w:t>
            </w:r>
            <w:r w:rsidRPr="00DC5330">
              <w:rPr>
                <w:b/>
                <w:i/>
              </w:rPr>
              <w:t xml:space="preserve"> </w:t>
            </w:r>
            <w:r w:rsidRPr="00DC5330">
              <w:rPr>
                <w:i/>
              </w:rPr>
              <w:t xml:space="preserve">This section </w:t>
            </w:r>
            <w:r>
              <w:rPr>
                <w:i/>
              </w:rPr>
              <w:t xml:space="preserve">should </w:t>
            </w:r>
            <w:r w:rsidRPr="00FE2C4C">
              <w:rPr>
                <w:i/>
                <w:u w:val="single"/>
              </w:rPr>
              <w:t>not</w:t>
            </w:r>
            <w:r>
              <w:rPr>
                <w:i/>
              </w:rPr>
              <w:t xml:space="preserve"> be used </w:t>
            </w:r>
            <w:r w:rsidRPr="00DC5330">
              <w:rPr>
                <w:i/>
              </w:rPr>
              <w:t>for leases commencing prior to 1 July 2019, as Treasury intends to mandate the practical expedient in paragraph C3.</w:t>
            </w:r>
          </w:p>
        </w:tc>
        <w:tc>
          <w:tcPr>
            <w:tcW w:w="1050" w:type="dxa"/>
            <w:shd w:val="clear" w:color="auto" w:fill="F2F2F2" w:themeFill="background1" w:themeFillShade="F2"/>
          </w:tcPr>
          <w:p w14:paraId="244259CE" w14:textId="77777777" w:rsidR="00DF2114" w:rsidRPr="004A224B" w:rsidRDefault="00DF2114" w:rsidP="00365994">
            <w:pPr>
              <w:rPr>
                <w:b/>
              </w:rPr>
            </w:pPr>
          </w:p>
        </w:tc>
        <w:tc>
          <w:tcPr>
            <w:tcW w:w="3236" w:type="dxa"/>
            <w:shd w:val="clear" w:color="auto" w:fill="F2F2F2" w:themeFill="background1" w:themeFillShade="F2"/>
          </w:tcPr>
          <w:p w14:paraId="11E34E23" w14:textId="77777777" w:rsidR="00DF2114" w:rsidRPr="004A224B" w:rsidRDefault="00DF2114" w:rsidP="00365994">
            <w:pPr>
              <w:rPr>
                <w:b/>
              </w:rPr>
            </w:pPr>
          </w:p>
        </w:tc>
      </w:tr>
      <w:tr w:rsidR="00725479" w14:paraId="21CAE84C" w14:textId="6566CFD7" w:rsidTr="00725479">
        <w:trPr>
          <w:cantSplit/>
        </w:trPr>
        <w:tc>
          <w:tcPr>
            <w:tcW w:w="563" w:type="dxa"/>
          </w:tcPr>
          <w:p w14:paraId="615CF5DA" w14:textId="3D90BB06" w:rsidR="00DF2114" w:rsidRDefault="00DF2114" w:rsidP="00365994">
            <w:r>
              <w:t>1.1</w:t>
            </w:r>
          </w:p>
        </w:tc>
        <w:tc>
          <w:tcPr>
            <w:tcW w:w="5352" w:type="dxa"/>
          </w:tcPr>
          <w:p w14:paraId="3BB7AB4B" w14:textId="629DF8C1" w:rsidR="00DF2114" w:rsidRDefault="00DF2114" w:rsidP="00365994">
            <w:r>
              <w:t>Determine whether there is an identified asset</w:t>
            </w:r>
          </w:p>
          <w:p w14:paraId="39B038B3" w14:textId="24D2C239" w:rsidR="00DF2114" w:rsidRDefault="00DF2114" w:rsidP="006D622D">
            <w:pPr>
              <w:pStyle w:val="ListParagraph"/>
              <w:numPr>
                <w:ilvl w:val="0"/>
                <w:numId w:val="28"/>
              </w:numPr>
            </w:pPr>
            <w:r>
              <w:t>Consider whether the supplier/lessor have substantive substitution rights</w:t>
            </w:r>
          </w:p>
          <w:p w14:paraId="387BF7CB" w14:textId="010054B5" w:rsidR="00DF2114" w:rsidRDefault="00DF2114" w:rsidP="006D622D">
            <w:pPr>
              <w:pStyle w:val="ListParagraph"/>
              <w:numPr>
                <w:ilvl w:val="0"/>
                <w:numId w:val="28"/>
              </w:numPr>
            </w:pPr>
            <w:r>
              <w:t xml:space="preserve">Consider if the lease for a portion of </w:t>
            </w:r>
            <w:r w:rsidR="005912B4">
              <w:t>the capacity of the</w:t>
            </w:r>
            <w:r>
              <w:t xml:space="preserve"> asset. If so, assess whether</w:t>
            </w:r>
          </w:p>
          <w:p w14:paraId="06DDF0EE" w14:textId="7DCE7C2B" w:rsidR="00DF2114" w:rsidRDefault="00DF2114" w:rsidP="006D622D">
            <w:pPr>
              <w:pStyle w:val="ListParagraph"/>
              <w:numPr>
                <w:ilvl w:val="1"/>
                <w:numId w:val="28"/>
              </w:numPr>
              <w:ind w:left="745"/>
            </w:pPr>
            <w:r>
              <w:t xml:space="preserve">it is a physically distinct portion, or </w:t>
            </w:r>
          </w:p>
          <w:p w14:paraId="76FF4D7F" w14:textId="71BB79E8" w:rsidR="00DF2114" w:rsidRDefault="00DF2114" w:rsidP="006D622D">
            <w:pPr>
              <w:pStyle w:val="ListParagraph"/>
              <w:numPr>
                <w:ilvl w:val="1"/>
                <w:numId w:val="28"/>
              </w:numPr>
              <w:ind w:left="745"/>
            </w:pPr>
            <w:r>
              <w:t>the agency leases substantially all of the capacity of the asset</w:t>
            </w:r>
          </w:p>
        </w:tc>
        <w:tc>
          <w:tcPr>
            <w:tcW w:w="1050" w:type="dxa"/>
          </w:tcPr>
          <w:p w14:paraId="123F4F1E" w14:textId="3648623D" w:rsidR="00DF2114" w:rsidRDefault="00DF2114" w:rsidP="00365994">
            <w:r>
              <w:t>B13-B20</w:t>
            </w:r>
          </w:p>
        </w:tc>
        <w:tc>
          <w:tcPr>
            <w:tcW w:w="3236" w:type="dxa"/>
          </w:tcPr>
          <w:p w14:paraId="34405521" w14:textId="77777777" w:rsidR="00DF2114" w:rsidRDefault="00DF2114" w:rsidP="00365994"/>
        </w:tc>
      </w:tr>
      <w:tr w:rsidR="00725479" w14:paraId="37C40FED" w14:textId="05255021" w:rsidTr="00725479">
        <w:trPr>
          <w:cantSplit/>
        </w:trPr>
        <w:tc>
          <w:tcPr>
            <w:tcW w:w="563" w:type="dxa"/>
          </w:tcPr>
          <w:p w14:paraId="555F0D9C" w14:textId="2DA1DC32" w:rsidR="00DF2114" w:rsidRDefault="00DF2114" w:rsidP="00365994">
            <w:r>
              <w:t>1.2</w:t>
            </w:r>
          </w:p>
        </w:tc>
        <w:tc>
          <w:tcPr>
            <w:tcW w:w="5352" w:type="dxa"/>
          </w:tcPr>
          <w:p w14:paraId="78D4A6FB" w14:textId="4698220C" w:rsidR="00DF2114" w:rsidRDefault="00DF2114" w:rsidP="00365994">
            <w:r>
              <w:t>Assess whether the agency has the right to obtain substantially all of the economic benefits from use of the asset throughout the period of use.</w:t>
            </w:r>
          </w:p>
        </w:tc>
        <w:tc>
          <w:tcPr>
            <w:tcW w:w="1050" w:type="dxa"/>
          </w:tcPr>
          <w:p w14:paraId="1116EE63" w14:textId="447E1620" w:rsidR="00DF2114" w:rsidRDefault="00DF2114" w:rsidP="00365994">
            <w:r>
              <w:t>B21-B23</w:t>
            </w:r>
          </w:p>
        </w:tc>
        <w:tc>
          <w:tcPr>
            <w:tcW w:w="3236" w:type="dxa"/>
          </w:tcPr>
          <w:p w14:paraId="037FADFA" w14:textId="77777777" w:rsidR="00DF2114" w:rsidRDefault="00DF2114" w:rsidP="00365994"/>
        </w:tc>
      </w:tr>
      <w:tr w:rsidR="00725479" w14:paraId="73FA4600" w14:textId="08B66AA7" w:rsidTr="00725479">
        <w:trPr>
          <w:cantSplit/>
        </w:trPr>
        <w:tc>
          <w:tcPr>
            <w:tcW w:w="563" w:type="dxa"/>
          </w:tcPr>
          <w:p w14:paraId="164E9463" w14:textId="4CDD4981" w:rsidR="00DF2114" w:rsidRDefault="00DF2114" w:rsidP="00365994">
            <w:r>
              <w:t>1.3</w:t>
            </w:r>
          </w:p>
        </w:tc>
        <w:tc>
          <w:tcPr>
            <w:tcW w:w="5352" w:type="dxa"/>
          </w:tcPr>
          <w:p w14:paraId="3F648B3B" w14:textId="7A7C916A" w:rsidR="00DF2114" w:rsidRDefault="00DF2114" w:rsidP="00365994">
            <w:r>
              <w:t>Assess whether the agency have the right to direct the use of the asset throughout the period of use. This can be evidenced by:</w:t>
            </w:r>
          </w:p>
          <w:p w14:paraId="702CF5FE" w14:textId="70EB96CD" w:rsidR="00DF2114" w:rsidRDefault="00DF2114" w:rsidP="003022D0">
            <w:pPr>
              <w:pStyle w:val="ListParagraph"/>
              <w:numPr>
                <w:ilvl w:val="0"/>
                <w:numId w:val="24"/>
              </w:numPr>
            </w:pPr>
            <w:r>
              <w:t>the agency having the right to direct how and for what purpose the asset is used, OR</w:t>
            </w:r>
          </w:p>
          <w:p w14:paraId="6120898A" w14:textId="2DCB907E" w:rsidR="00DF2114" w:rsidRDefault="00DF2114" w:rsidP="003022D0">
            <w:pPr>
              <w:pStyle w:val="ListParagraph"/>
              <w:numPr>
                <w:ilvl w:val="0"/>
                <w:numId w:val="24"/>
              </w:numPr>
            </w:pPr>
            <w:r>
              <w:t>the relevant decisions about how and for what purpose the asset is used being predetermined, and cannot be changed by the supplier</w:t>
            </w:r>
          </w:p>
        </w:tc>
        <w:tc>
          <w:tcPr>
            <w:tcW w:w="1050" w:type="dxa"/>
          </w:tcPr>
          <w:p w14:paraId="38496D7E" w14:textId="4C3A13DA" w:rsidR="00DF2114" w:rsidRDefault="00DF2114" w:rsidP="00365994">
            <w:r>
              <w:t>B24-B30</w:t>
            </w:r>
          </w:p>
        </w:tc>
        <w:tc>
          <w:tcPr>
            <w:tcW w:w="3236" w:type="dxa"/>
          </w:tcPr>
          <w:p w14:paraId="592634F3" w14:textId="77777777" w:rsidR="00DF2114" w:rsidRDefault="00DF2114" w:rsidP="00365994"/>
        </w:tc>
      </w:tr>
      <w:tr w:rsidR="00725479" w14:paraId="70B338D0" w14:textId="24014B24" w:rsidTr="00725479">
        <w:trPr>
          <w:cantSplit/>
        </w:trPr>
        <w:tc>
          <w:tcPr>
            <w:tcW w:w="563" w:type="dxa"/>
          </w:tcPr>
          <w:p w14:paraId="0EA49A51" w14:textId="66709275" w:rsidR="00DF2114" w:rsidRDefault="00DF2114" w:rsidP="00135CD6">
            <w:r>
              <w:t>1.4</w:t>
            </w:r>
          </w:p>
        </w:tc>
        <w:tc>
          <w:tcPr>
            <w:tcW w:w="5352" w:type="dxa"/>
          </w:tcPr>
          <w:p w14:paraId="10FF39DD" w14:textId="3AA09A78" w:rsidR="00DF2114" w:rsidRDefault="00DF2114" w:rsidP="00135CD6">
            <w:r>
              <w:t>Conclude whether the contract is, or contains, a lease</w:t>
            </w:r>
          </w:p>
          <w:p w14:paraId="25021E99" w14:textId="77777777" w:rsidR="00DF2114" w:rsidRDefault="00DF2114" w:rsidP="00FE2C4C">
            <w:pPr>
              <w:pStyle w:val="ListParagraph"/>
              <w:numPr>
                <w:ilvl w:val="0"/>
                <w:numId w:val="45"/>
              </w:numPr>
            </w:pPr>
            <w:r>
              <w:t>If there is no lease, consider what other standard/s would apply to this arrangement</w:t>
            </w:r>
          </w:p>
          <w:p w14:paraId="1AADECFD" w14:textId="04C3B7CF" w:rsidR="00DF2114" w:rsidRDefault="00DF2114" w:rsidP="00FE2C4C">
            <w:pPr>
              <w:pStyle w:val="ListParagraph"/>
              <w:numPr>
                <w:ilvl w:val="0"/>
                <w:numId w:val="45"/>
              </w:numPr>
            </w:pPr>
            <w:r>
              <w:t>If there is a lease, proceed with this checklist</w:t>
            </w:r>
          </w:p>
        </w:tc>
        <w:tc>
          <w:tcPr>
            <w:tcW w:w="1050" w:type="dxa"/>
          </w:tcPr>
          <w:p w14:paraId="1E549499" w14:textId="77777777" w:rsidR="00DF2114" w:rsidRDefault="00DF2114" w:rsidP="00365994">
            <w:r>
              <w:t>9</w:t>
            </w:r>
          </w:p>
          <w:p w14:paraId="1D696E25" w14:textId="316AEF7B" w:rsidR="00DF2114" w:rsidRDefault="00DF2114" w:rsidP="00365994">
            <w:r>
              <w:t>B9-B12</w:t>
            </w:r>
          </w:p>
        </w:tc>
        <w:tc>
          <w:tcPr>
            <w:tcW w:w="3236" w:type="dxa"/>
          </w:tcPr>
          <w:p w14:paraId="60AC6AA9" w14:textId="77777777" w:rsidR="00DF2114" w:rsidRDefault="00DF2114" w:rsidP="00365994"/>
        </w:tc>
      </w:tr>
      <w:tr w:rsidR="00DF2114" w14:paraId="70925F22" w14:textId="77777777" w:rsidTr="00725479">
        <w:trPr>
          <w:cantSplit/>
        </w:trPr>
        <w:tc>
          <w:tcPr>
            <w:tcW w:w="563" w:type="dxa"/>
            <w:shd w:val="clear" w:color="auto" w:fill="F2F2F2" w:themeFill="background1" w:themeFillShade="F2"/>
          </w:tcPr>
          <w:p w14:paraId="3D7CC16E" w14:textId="5C6319A0" w:rsidR="00DF2114" w:rsidRDefault="00DF2114" w:rsidP="0077279E">
            <w:pPr>
              <w:rPr>
                <w:b/>
              </w:rPr>
            </w:pPr>
            <w:r>
              <w:rPr>
                <w:b/>
              </w:rPr>
              <w:t>2</w:t>
            </w:r>
          </w:p>
        </w:tc>
        <w:tc>
          <w:tcPr>
            <w:tcW w:w="5352" w:type="dxa"/>
            <w:shd w:val="clear" w:color="auto" w:fill="F2F2F2" w:themeFill="background1" w:themeFillShade="F2"/>
          </w:tcPr>
          <w:p w14:paraId="7615660F" w14:textId="2939C37F" w:rsidR="00DF2114" w:rsidRDefault="00DF2114" w:rsidP="0077279E">
            <w:pPr>
              <w:rPr>
                <w:b/>
              </w:rPr>
            </w:pPr>
            <w:r>
              <w:rPr>
                <w:b/>
              </w:rPr>
              <w:t>General lease details</w:t>
            </w:r>
          </w:p>
        </w:tc>
        <w:tc>
          <w:tcPr>
            <w:tcW w:w="1050" w:type="dxa"/>
            <w:shd w:val="clear" w:color="auto" w:fill="F2F2F2" w:themeFill="background1" w:themeFillShade="F2"/>
          </w:tcPr>
          <w:p w14:paraId="2DF94A22" w14:textId="77777777" w:rsidR="00DF2114" w:rsidRPr="0000628A" w:rsidRDefault="00DF2114" w:rsidP="0077279E">
            <w:pPr>
              <w:rPr>
                <w:b/>
              </w:rPr>
            </w:pPr>
          </w:p>
        </w:tc>
        <w:tc>
          <w:tcPr>
            <w:tcW w:w="3236" w:type="dxa"/>
            <w:shd w:val="clear" w:color="auto" w:fill="F2F2F2" w:themeFill="background1" w:themeFillShade="F2"/>
          </w:tcPr>
          <w:p w14:paraId="4F9DB76B" w14:textId="77777777" w:rsidR="00DF2114" w:rsidRDefault="00DF2114" w:rsidP="0077279E">
            <w:pPr>
              <w:rPr>
                <w:b/>
              </w:rPr>
            </w:pPr>
          </w:p>
        </w:tc>
      </w:tr>
      <w:tr w:rsidR="00DF2114" w14:paraId="69A216CE" w14:textId="77777777" w:rsidTr="00725479">
        <w:trPr>
          <w:cantSplit/>
        </w:trPr>
        <w:tc>
          <w:tcPr>
            <w:tcW w:w="563" w:type="dxa"/>
            <w:shd w:val="clear" w:color="auto" w:fill="auto"/>
          </w:tcPr>
          <w:p w14:paraId="31F7998E" w14:textId="48615840" w:rsidR="00DF2114" w:rsidRDefault="00DF2114" w:rsidP="0077279E">
            <w:r>
              <w:t>2.</w:t>
            </w:r>
            <w:r w:rsidR="00725479">
              <w:t>1</w:t>
            </w:r>
          </w:p>
        </w:tc>
        <w:tc>
          <w:tcPr>
            <w:tcW w:w="5352" w:type="dxa"/>
            <w:shd w:val="clear" w:color="auto" w:fill="auto"/>
          </w:tcPr>
          <w:p w14:paraId="02CA9D54" w14:textId="0981D95D" w:rsidR="00DF2114" w:rsidRPr="00DF2114" w:rsidRDefault="00725479" w:rsidP="0077279E">
            <w:r>
              <w:t>Record a</w:t>
            </w:r>
            <w:r w:rsidR="00DF2114">
              <w:t>sset class</w:t>
            </w:r>
            <w:r>
              <w:t xml:space="preserve"> of the underlying asset</w:t>
            </w:r>
          </w:p>
        </w:tc>
        <w:tc>
          <w:tcPr>
            <w:tcW w:w="1050" w:type="dxa"/>
            <w:shd w:val="clear" w:color="auto" w:fill="auto"/>
          </w:tcPr>
          <w:p w14:paraId="32025098" w14:textId="597A7948" w:rsidR="00DF2114" w:rsidRPr="00DF2114" w:rsidRDefault="00DF2114" w:rsidP="0077279E">
            <w:r>
              <w:t>NCAP1</w:t>
            </w:r>
          </w:p>
        </w:tc>
        <w:tc>
          <w:tcPr>
            <w:tcW w:w="3236" w:type="dxa"/>
            <w:shd w:val="clear" w:color="auto" w:fill="auto"/>
          </w:tcPr>
          <w:p w14:paraId="1DDAB017" w14:textId="77777777" w:rsidR="00DF2114" w:rsidRDefault="00DF2114" w:rsidP="0077279E"/>
        </w:tc>
      </w:tr>
      <w:tr w:rsidR="00DF2114" w14:paraId="3F2C2897" w14:textId="77777777" w:rsidTr="00725479">
        <w:trPr>
          <w:cantSplit/>
        </w:trPr>
        <w:tc>
          <w:tcPr>
            <w:tcW w:w="563" w:type="dxa"/>
            <w:shd w:val="clear" w:color="auto" w:fill="auto"/>
          </w:tcPr>
          <w:p w14:paraId="6390CB14" w14:textId="3EF2B72E" w:rsidR="00DF2114" w:rsidRDefault="00DF2114" w:rsidP="0077279E">
            <w:r>
              <w:t>2.</w:t>
            </w:r>
            <w:r w:rsidR="00725479">
              <w:t>2</w:t>
            </w:r>
          </w:p>
        </w:tc>
        <w:tc>
          <w:tcPr>
            <w:tcW w:w="5352" w:type="dxa"/>
            <w:shd w:val="clear" w:color="auto" w:fill="auto"/>
          </w:tcPr>
          <w:p w14:paraId="44CBBA46" w14:textId="688BBD7E" w:rsidR="0087561A" w:rsidRPr="00DF2114" w:rsidRDefault="00725479" w:rsidP="00725479">
            <w:r>
              <w:t>Is</w:t>
            </w:r>
            <w:r w:rsidR="00DF2114">
              <w:t xml:space="preserve"> the lessor external to Queensland Government?</w:t>
            </w:r>
          </w:p>
        </w:tc>
        <w:tc>
          <w:tcPr>
            <w:tcW w:w="1050" w:type="dxa"/>
            <w:shd w:val="clear" w:color="auto" w:fill="auto"/>
          </w:tcPr>
          <w:p w14:paraId="56B5DA82" w14:textId="77777777" w:rsidR="00DF2114" w:rsidRPr="00DF2114" w:rsidRDefault="00DF2114" w:rsidP="0077279E"/>
        </w:tc>
        <w:tc>
          <w:tcPr>
            <w:tcW w:w="3236" w:type="dxa"/>
            <w:shd w:val="clear" w:color="auto" w:fill="auto"/>
          </w:tcPr>
          <w:p w14:paraId="198C8738" w14:textId="77777777" w:rsidR="00DF2114" w:rsidRDefault="00DF2114" w:rsidP="0077279E"/>
        </w:tc>
      </w:tr>
      <w:tr w:rsidR="00DF2114" w14:paraId="75ED0721" w14:textId="77777777" w:rsidTr="00725479">
        <w:trPr>
          <w:cantSplit/>
        </w:trPr>
        <w:tc>
          <w:tcPr>
            <w:tcW w:w="563" w:type="dxa"/>
            <w:shd w:val="clear" w:color="auto" w:fill="auto"/>
          </w:tcPr>
          <w:p w14:paraId="4604D9B6" w14:textId="5515DDC7" w:rsidR="00DF2114" w:rsidRDefault="00DF2114" w:rsidP="0077279E">
            <w:r>
              <w:t>2.</w:t>
            </w:r>
            <w:r w:rsidR="00725479">
              <w:t>3</w:t>
            </w:r>
          </w:p>
        </w:tc>
        <w:tc>
          <w:tcPr>
            <w:tcW w:w="5352" w:type="dxa"/>
            <w:shd w:val="clear" w:color="auto" w:fill="auto"/>
          </w:tcPr>
          <w:p w14:paraId="4320F8ED" w14:textId="2A81CC25" w:rsidR="00DF2114" w:rsidRPr="00DF2114" w:rsidRDefault="00725479" w:rsidP="0077279E">
            <w:r>
              <w:t>Include l</w:t>
            </w:r>
            <w:r w:rsidR="00DF2114">
              <w:t>inks to</w:t>
            </w:r>
            <w:r>
              <w:t xml:space="preserve"> the</w:t>
            </w:r>
            <w:r w:rsidR="00DF2114">
              <w:t xml:space="preserve"> original lease agreement and any </w:t>
            </w:r>
            <w:r>
              <w:t xml:space="preserve">subsequent </w:t>
            </w:r>
            <w:r w:rsidR="00DF2114">
              <w:t>amendments</w:t>
            </w:r>
          </w:p>
        </w:tc>
        <w:tc>
          <w:tcPr>
            <w:tcW w:w="1050" w:type="dxa"/>
            <w:shd w:val="clear" w:color="auto" w:fill="auto"/>
          </w:tcPr>
          <w:p w14:paraId="62FA85D2" w14:textId="77777777" w:rsidR="00DF2114" w:rsidRPr="00DF2114" w:rsidRDefault="00DF2114" w:rsidP="0077279E"/>
        </w:tc>
        <w:tc>
          <w:tcPr>
            <w:tcW w:w="3236" w:type="dxa"/>
            <w:shd w:val="clear" w:color="auto" w:fill="auto"/>
          </w:tcPr>
          <w:p w14:paraId="3FECAE71" w14:textId="77777777" w:rsidR="00DF2114" w:rsidRDefault="00DF2114" w:rsidP="0077279E"/>
        </w:tc>
      </w:tr>
      <w:tr w:rsidR="00725479" w14:paraId="5C90A7AE" w14:textId="78FFC513" w:rsidTr="00725479">
        <w:trPr>
          <w:cantSplit/>
        </w:trPr>
        <w:tc>
          <w:tcPr>
            <w:tcW w:w="563" w:type="dxa"/>
            <w:shd w:val="clear" w:color="auto" w:fill="F2F2F2" w:themeFill="background1" w:themeFillShade="F2"/>
          </w:tcPr>
          <w:p w14:paraId="18EDEECA" w14:textId="3E5D8C03" w:rsidR="00DF2114" w:rsidRPr="0000628A" w:rsidRDefault="005549E7" w:rsidP="0077279E">
            <w:pPr>
              <w:rPr>
                <w:b/>
              </w:rPr>
            </w:pPr>
            <w:r>
              <w:rPr>
                <w:b/>
              </w:rPr>
              <w:lastRenderedPageBreak/>
              <w:t>3</w:t>
            </w:r>
          </w:p>
        </w:tc>
        <w:tc>
          <w:tcPr>
            <w:tcW w:w="5352" w:type="dxa"/>
            <w:shd w:val="clear" w:color="auto" w:fill="F2F2F2" w:themeFill="background1" w:themeFillShade="F2"/>
          </w:tcPr>
          <w:p w14:paraId="7AEE8628" w14:textId="77777777" w:rsidR="00DF2114" w:rsidRPr="0000628A" w:rsidRDefault="00DF2114" w:rsidP="0077279E">
            <w:pPr>
              <w:rPr>
                <w:b/>
              </w:rPr>
            </w:pPr>
            <w:r>
              <w:rPr>
                <w:b/>
              </w:rPr>
              <w:t>Portfolio application and c</w:t>
            </w:r>
            <w:r w:rsidRPr="0000628A">
              <w:rPr>
                <w:b/>
              </w:rPr>
              <w:t>ombination of contracts</w:t>
            </w:r>
          </w:p>
        </w:tc>
        <w:tc>
          <w:tcPr>
            <w:tcW w:w="1050" w:type="dxa"/>
            <w:shd w:val="clear" w:color="auto" w:fill="F2F2F2" w:themeFill="background1" w:themeFillShade="F2"/>
          </w:tcPr>
          <w:p w14:paraId="2B9DB760" w14:textId="77777777" w:rsidR="00DF2114" w:rsidRPr="0000628A" w:rsidRDefault="00DF2114" w:rsidP="0077279E">
            <w:pPr>
              <w:rPr>
                <w:b/>
              </w:rPr>
            </w:pPr>
          </w:p>
        </w:tc>
        <w:tc>
          <w:tcPr>
            <w:tcW w:w="3236" w:type="dxa"/>
            <w:shd w:val="clear" w:color="auto" w:fill="F2F2F2" w:themeFill="background1" w:themeFillShade="F2"/>
          </w:tcPr>
          <w:p w14:paraId="073872CD" w14:textId="77777777" w:rsidR="00DF2114" w:rsidRPr="0000628A" w:rsidRDefault="00DF2114" w:rsidP="0077279E">
            <w:pPr>
              <w:rPr>
                <w:b/>
              </w:rPr>
            </w:pPr>
          </w:p>
        </w:tc>
      </w:tr>
      <w:tr w:rsidR="00725479" w14:paraId="2CDCDCD5" w14:textId="3248278A" w:rsidTr="00725479">
        <w:trPr>
          <w:cantSplit/>
        </w:trPr>
        <w:tc>
          <w:tcPr>
            <w:tcW w:w="563" w:type="dxa"/>
            <w:shd w:val="clear" w:color="auto" w:fill="FFFFFF" w:themeFill="background1"/>
          </w:tcPr>
          <w:p w14:paraId="45923A7E" w14:textId="614AFD9D" w:rsidR="00DF2114" w:rsidRPr="0000628A" w:rsidRDefault="005549E7" w:rsidP="0077279E">
            <w:r>
              <w:t>3</w:t>
            </w:r>
            <w:r w:rsidR="00DF2114">
              <w:t>.1</w:t>
            </w:r>
          </w:p>
        </w:tc>
        <w:tc>
          <w:tcPr>
            <w:tcW w:w="5352" w:type="dxa"/>
            <w:shd w:val="clear" w:color="auto" w:fill="FFFFFF" w:themeFill="background1"/>
          </w:tcPr>
          <w:p w14:paraId="15DACE84" w14:textId="74D991A8" w:rsidR="00DF2114" w:rsidRDefault="00DF2114" w:rsidP="0077279E">
            <w:r>
              <w:t>If the agency has a portfolio of leases with similar characteristics, consider whether to apply AASB 16 to the portfolio as a whole</w:t>
            </w:r>
          </w:p>
        </w:tc>
        <w:tc>
          <w:tcPr>
            <w:tcW w:w="1050" w:type="dxa"/>
            <w:shd w:val="clear" w:color="auto" w:fill="FFFFFF" w:themeFill="background1"/>
          </w:tcPr>
          <w:p w14:paraId="06315029" w14:textId="6C31E420" w:rsidR="00DF2114" w:rsidRDefault="00DF2114" w:rsidP="0077279E">
            <w:r>
              <w:t>B1</w:t>
            </w:r>
          </w:p>
        </w:tc>
        <w:tc>
          <w:tcPr>
            <w:tcW w:w="3236" w:type="dxa"/>
            <w:shd w:val="clear" w:color="auto" w:fill="FFFFFF" w:themeFill="background1"/>
          </w:tcPr>
          <w:p w14:paraId="1521B2C0" w14:textId="77777777" w:rsidR="00DF2114" w:rsidRDefault="00DF2114" w:rsidP="0077279E"/>
        </w:tc>
      </w:tr>
      <w:tr w:rsidR="00725479" w14:paraId="5C50E322" w14:textId="38FE51DB" w:rsidTr="00725479">
        <w:trPr>
          <w:cantSplit/>
        </w:trPr>
        <w:tc>
          <w:tcPr>
            <w:tcW w:w="563" w:type="dxa"/>
            <w:shd w:val="clear" w:color="auto" w:fill="FFFFFF" w:themeFill="background1"/>
          </w:tcPr>
          <w:p w14:paraId="347D94D4" w14:textId="0358D754" w:rsidR="00DF2114" w:rsidRPr="0000628A" w:rsidRDefault="005549E7" w:rsidP="0077279E">
            <w:r>
              <w:t>3</w:t>
            </w:r>
            <w:r w:rsidR="00DF2114">
              <w:t>.2</w:t>
            </w:r>
          </w:p>
        </w:tc>
        <w:tc>
          <w:tcPr>
            <w:tcW w:w="5352" w:type="dxa"/>
            <w:shd w:val="clear" w:color="auto" w:fill="FFFFFF" w:themeFill="background1"/>
          </w:tcPr>
          <w:p w14:paraId="50C361F4" w14:textId="4EB07A87" w:rsidR="00DF2114" w:rsidRPr="0000628A" w:rsidRDefault="00DF2114" w:rsidP="0077279E">
            <w:r>
              <w:t>Consider whether the contract is required to be combined with other contracts and accounted for as a single contract per paragraph B2</w:t>
            </w:r>
          </w:p>
        </w:tc>
        <w:tc>
          <w:tcPr>
            <w:tcW w:w="1050" w:type="dxa"/>
            <w:shd w:val="clear" w:color="auto" w:fill="FFFFFF" w:themeFill="background1"/>
          </w:tcPr>
          <w:p w14:paraId="7291BEC8" w14:textId="77777777" w:rsidR="00DF2114" w:rsidRPr="0000628A" w:rsidRDefault="00DF2114" w:rsidP="0077279E">
            <w:r>
              <w:t>B2</w:t>
            </w:r>
          </w:p>
        </w:tc>
        <w:tc>
          <w:tcPr>
            <w:tcW w:w="3236" w:type="dxa"/>
            <w:shd w:val="clear" w:color="auto" w:fill="FFFFFF" w:themeFill="background1"/>
          </w:tcPr>
          <w:p w14:paraId="0F9714E1" w14:textId="77777777" w:rsidR="00DF2114" w:rsidRDefault="00DF2114" w:rsidP="0077279E"/>
        </w:tc>
      </w:tr>
      <w:tr w:rsidR="00725479" w14:paraId="77593698" w14:textId="783FAC0F" w:rsidTr="00725479">
        <w:trPr>
          <w:cantSplit/>
        </w:trPr>
        <w:tc>
          <w:tcPr>
            <w:tcW w:w="563" w:type="dxa"/>
            <w:shd w:val="clear" w:color="auto" w:fill="F2F2F2" w:themeFill="background1" w:themeFillShade="F2"/>
          </w:tcPr>
          <w:p w14:paraId="1F312014" w14:textId="552D09E9" w:rsidR="00DF2114" w:rsidRPr="004A224B" w:rsidRDefault="005549E7" w:rsidP="0077279E">
            <w:pPr>
              <w:rPr>
                <w:b/>
              </w:rPr>
            </w:pPr>
            <w:r>
              <w:rPr>
                <w:b/>
              </w:rPr>
              <w:t>4</w:t>
            </w:r>
          </w:p>
        </w:tc>
        <w:tc>
          <w:tcPr>
            <w:tcW w:w="5352" w:type="dxa"/>
            <w:shd w:val="clear" w:color="auto" w:fill="F2F2F2" w:themeFill="background1" w:themeFillShade="F2"/>
          </w:tcPr>
          <w:p w14:paraId="0D49634A" w14:textId="3F0EECD6" w:rsidR="00DF2114" w:rsidRPr="004A224B" w:rsidRDefault="00DF2114" w:rsidP="0077279E">
            <w:pPr>
              <w:rPr>
                <w:b/>
              </w:rPr>
            </w:pPr>
            <w:r w:rsidRPr="004A224B">
              <w:rPr>
                <w:b/>
              </w:rPr>
              <w:t>Separating components of a contract</w:t>
            </w:r>
          </w:p>
        </w:tc>
        <w:tc>
          <w:tcPr>
            <w:tcW w:w="1050" w:type="dxa"/>
            <w:shd w:val="clear" w:color="auto" w:fill="F2F2F2" w:themeFill="background1" w:themeFillShade="F2"/>
          </w:tcPr>
          <w:p w14:paraId="5372D4C4" w14:textId="77777777" w:rsidR="00DF2114" w:rsidRPr="004A224B" w:rsidRDefault="00DF2114" w:rsidP="0077279E">
            <w:pPr>
              <w:rPr>
                <w:b/>
              </w:rPr>
            </w:pPr>
          </w:p>
        </w:tc>
        <w:tc>
          <w:tcPr>
            <w:tcW w:w="3236" w:type="dxa"/>
            <w:shd w:val="clear" w:color="auto" w:fill="F2F2F2" w:themeFill="background1" w:themeFillShade="F2"/>
          </w:tcPr>
          <w:p w14:paraId="3DB8B9A1" w14:textId="77777777" w:rsidR="00DF2114" w:rsidRPr="004A224B" w:rsidRDefault="00DF2114" w:rsidP="0077279E">
            <w:pPr>
              <w:rPr>
                <w:b/>
              </w:rPr>
            </w:pPr>
          </w:p>
        </w:tc>
      </w:tr>
      <w:tr w:rsidR="00725479" w14:paraId="054A76E8" w14:textId="248D0538" w:rsidTr="00725479">
        <w:trPr>
          <w:cantSplit/>
        </w:trPr>
        <w:tc>
          <w:tcPr>
            <w:tcW w:w="563" w:type="dxa"/>
          </w:tcPr>
          <w:p w14:paraId="5CD74B80" w14:textId="5FFFAF58" w:rsidR="00DF2114" w:rsidRDefault="005549E7" w:rsidP="0077279E">
            <w:r>
              <w:t>4.1</w:t>
            </w:r>
          </w:p>
        </w:tc>
        <w:tc>
          <w:tcPr>
            <w:tcW w:w="5352" w:type="dxa"/>
          </w:tcPr>
          <w:p w14:paraId="70D24165" w14:textId="381E6816" w:rsidR="00DF2114" w:rsidRDefault="00DF2114" w:rsidP="0077279E">
            <w:r>
              <w:t>Identify any non-lease components (such as cleaning, repairs, supply of consumables), if any</w:t>
            </w:r>
          </w:p>
          <w:p w14:paraId="2105844C" w14:textId="726C12D2" w:rsidR="00DF2114" w:rsidRDefault="00DF2114" w:rsidP="0000628A">
            <w:r>
              <w:t>Separate out the lease components and the non-lease components so they can be accounted for separately. However, as per Treasury policy, do not separate out non-lease components for leases of plant and equipment.</w:t>
            </w:r>
          </w:p>
        </w:tc>
        <w:tc>
          <w:tcPr>
            <w:tcW w:w="1050" w:type="dxa"/>
          </w:tcPr>
          <w:p w14:paraId="4EE3E064" w14:textId="77777777" w:rsidR="00DF2114" w:rsidRDefault="00DF2114" w:rsidP="0077279E">
            <w:r>
              <w:t>12-16</w:t>
            </w:r>
          </w:p>
          <w:p w14:paraId="6BB120F6" w14:textId="172434AC" w:rsidR="00DF2114" w:rsidRDefault="00DF2114" w:rsidP="0077279E">
            <w:r>
              <w:t>B32-B33</w:t>
            </w:r>
          </w:p>
        </w:tc>
        <w:tc>
          <w:tcPr>
            <w:tcW w:w="3236" w:type="dxa"/>
          </w:tcPr>
          <w:p w14:paraId="510DF628" w14:textId="77777777" w:rsidR="00DF2114" w:rsidRDefault="00DF2114" w:rsidP="0077279E"/>
        </w:tc>
      </w:tr>
      <w:tr w:rsidR="008D5572" w14:paraId="1F2B2AEF" w14:textId="77777777" w:rsidTr="00725479">
        <w:trPr>
          <w:cantSplit/>
        </w:trPr>
        <w:tc>
          <w:tcPr>
            <w:tcW w:w="563" w:type="dxa"/>
            <w:shd w:val="clear" w:color="auto" w:fill="auto"/>
          </w:tcPr>
          <w:p w14:paraId="6AACD269" w14:textId="74871521" w:rsidR="008D5572" w:rsidRPr="008D5572" w:rsidRDefault="005549E7" w:rsidP="0077279E">
            <w:r>
              <w:t>4.2</w:t>
            </w:r>
          </w:p>
        </w:tc>
        <w:tc>
          <w:tcPr>
            <w:tcW w:w="5352" w:type="dxa"/>
            <w:shd w:val="clear" w:color="auto" w:fill="auto"/>
          </w:tcPr>
          <w:p w14:paraId="031100A8" w14:textId="162EC377" w:rsidR="008D5572" w:rsidRPr="008D5572" w:rsidRDefault="000A4BD2" w:rsidP="0077279E">
            <w:r>
              <w:t>Identify any additional lease components included in the lease agreement, e.g. car parks</w:t>
            </w:r>
          </w:p>
        </w:tc>
        <w:tc>
          <w:tcPr>
            <w:tcW w:w="1050" w:type="dxa"/>
            <w:shd w:val="clear" w:color="auto" w:fill="auto"/>
          </w:tcPr>
          <w:p w14:paraId="3E52DFD5" w14:textId="3C168DC1" w:rsidR="008D5572" w:rsidRPr="008D5572" w:rsidRDefault="000A4BD2" w:rsidP="0077279E">
            <w:r>
              <w:t>13</w:t>
            </w:r>
          </w:p>
        </w:tc>
        <w:tc>
          <w:tcPr>
            <w:tcW w:w="3236" w:type="dxa"/>
            <w:shd w:val="clear" w:color="auto" w:fill="auto"/>
          </w:tcPr>
          <w:p w14:paraId="0C61CE11" w14:textId="77777777" w:rsidR="008D5572" w:rsidRPr="008D5572" w:rsidRDefault="008D5572" w:rsidP="0077279E"/>
        </w:tc>
      </w:tr>
      <w:tr w:rsidR="00725479" w14:paraId="2B759691" w14:textId="517C9BCB" w:rsidTr="00725479">
        <w:trPr>
          <w:cantSplit/>
        </w:trPr>
        <w:tc>
          <w:tcPr>
            <w:tcW w:w="563" w:type="dxa"/>
            <w:shd w:val="clear" w:color="auto" w:fill="F2F2F2" w:themeFill="background1" w:themeFillShade="F2"/>
          </w:tcPr>
          <w:p w14:paraId="0E8D7F2E" w14:textId="3A5D60CD" w:rsidR="00DF2114" w:rsidRPr="004A224B" w:rsidRDefault="005549E7" w:rsidP="0077279E">
            <w:pPr>
              <w:rPr>
                <w:b/>
              </w:rPr>
            </w:pPr>
            <w:r>
              <w:rPr>
                <w:b/>
              </w:rPr>
              <w:t>5</w:t>
            </w:r>
          </w:p>
        </w:tc>
        <w:tc>
          <w:tcPr>
            <w:tcW w:w="5352" w:type="dxa"/>
            <w:shd w:val="clear" w:color="auto" w:fill="F2F2F2" w:themeFill="background1" w:themeFillShade="F2"/>
          </w:tcPr>
          <w:p w14:paraId="7E247FE2" w14:textId="255CFB15" w:rsidR="00DF2114" w:rsidRPr="004A224B" w:rsidRDefault="00DF2114" w:rsidP="0077279E">
            <w:pPr>
              <w:rPr>
                <w:b/>
              </w:rPr>
            </w:pPr>
            <w:r w:rsidRPr="004A224B">
              <w:rPr>
                <w:b/>
              </w:rPr>
              <w:t>Exemption for leases of low value assets</w:t>
            </w:r>
          </w:p>
        </w:tc>
        <w:tc>
          <w:tcPr>
            <w:tcW w:w="1050" w:type="dxa"/>
            <w:shd w:val="clear" w:color="auto" w:fill="F2F2F2" w:themeFill="background1" w:themeFillShade="F2"/>
          </w:tcPr>
          <w:p w14:paraId="594AF3BE" w14:textId="77777777" w:rsidR="00DF2114" w:rsidRPr="004A224B" w:rsidRDefault="00DF2114" w:rsidP="0077279E">
            <w:pPr>
              <w:rPr>
                <w:b/>
              </w:rPr>
            </w:pPr>
          </w:p>
        </w:tc>
        <w:tc>
          <w:tcPr>
            <w:tcW w:w="3236" w:type="dxa"/>
            <w:shd w:val="clear" w:color="auto" w:fill="F2F2F2" w:themeFill="background1" w:themeFillShade="F2"/>
          </w:tcPr>
          <w:p w14:paraId="34719FD3" w14:textId="77777777" w:rsidR="00DF2114" w:rsidRPr="004A224B" w:rsidRDefault="00DF2114" w:rsidP="0077279E">
            <w:pPr>
              <w:rPr>
                <w:b/>
              </w:rPr>
            </w:pPr>
          </w:p>
        </w:tc>
      </w:tr>
      <w:tr w:rsidR="00725479" w14:paraId="49F6831C" w14:textId="06D350F3" w:rsidTr="00725479">
        <w:trPr>
          <w:cantSplit/>
        </w:trPr>
        <w:tc>
          <w:tcPr>
            <w:tcW w:w="563" w:type="dxa"/>
          </w:tcPr>
          <w:p w14:paraId="7114A940" w14:textId="78428938" w:rsidR="00DF2114" w:rsidRDefault="005549E7" w:rsidP="0077279E">
            <w:r>
              <w:t>5</w:t>
            </w:r>
            <w:r w:rsidR="00DF2114">
              <w:t>.1</w:t>
            </w:r>
          </w:p>
        </w:tc>
        <w:tc>
          <w:tcPr>
            <w:tcW w:w="5352" w:type="dxa"/>
          </w:tcPr>
          <w:p w14:paraId="49E54140" w14:textId="1AA5C6C4" w:rsidR="00DF2114" w:rsidRDefault="00DF2114" w:rsidP="0077279E">
            <w:r>
              <w:t>Assess whether the leased asset, when new, would cost less than AUD $10,000</w:t>
            </w:r>
          </w:p>
          <w:p w14:paraId="60DCFA0A" w14:textId="06ACF73F" w:rsidR="00DF2114" w:rsidRDefault="00DF2114" w:rsidP="0077279E">
            <w:r>
              <w:t>If so, decide whether the agency will apply the low value assets exemption to this lease. This decision can be made on a lease-by-lease basis.</w:t>
            </w:r>
          </w:p>
        </w:tc>
        <w:tc>
          <w:tcPr>
            <w:tcW w:w="1050" w:type="dxa"/>
          </w:tcPr>
          <w:p w14:paraId="3614ABC8" w14:textId="3C7180D4" w:rsidR="00DF2114" w:rsidRDefault="00DF2114" w:rsidP="0077279E">
            <w:r>
              <w:t>5(b)</w:t>
            </w:r>
          </w:p>
          <w:p w14:paraId="18713477" w14:textId="5EAD369A" w:rsidR="00DF2114" w:rsidRDefault="00DF2114" w:rsidP="0077279E">
            <w:r>
              <w:t>B3-B8</w:t>
            </w:r>
          </w:p>
        </w:tc>
        <w:tc>
          <w:tcPr>
            <w:tcW w:w="3236" w:type="dxa"/>
          </w:tcPr>
          <w:p w14:paraId="73D52881" w14:textId="77777777" w:rsidR="00DF2114" w:rsidRDefault="00DF2114" w:rsidP="0077279E"/>
        </w:tc>
      </w:tr>
      <w:tr w:rsidR="00725479" w14:paraId="35C9A999" w14:textId="004AFA2E" w:rsidTr="00725479">
        <w:trPr>
          <w:cantSplit/>
        </w:trPr>
        <w:tc>
          <w:tcPr>
            <w:tcW w:w="563" w:type="dxa"/>
            <w:shd w:val="clear" w:color="auto" w:fill="F2F2F2" w:themeFill="background1" w:themeFillShade="F2"/>
          </w:tcPr>
          <w:p w14:paraId="00B6B201" w14:textId="54668886" w:rsidR="00DF2114" w:rsidRPr="0000628A" w:rsidRDefault="005549E7" w:rsidP="0077279E">
            <w:pPr>
              <w:rPr>
                <w:b/>
              </w:rPr>
            </w:pPr>
            <w:r>
              <w:rPr>
                <w:b/>
              </w:rPr>
              <w:t>6</w:t>
            </w:r>
          </w:p>
        </w:tc>
        <w:tc>
          <w:tcPr>
            <w:tcW w:w="5352" w:type="dxa"/>
            <w:shd w:val="clear" w:color="auto" w:fill="F2F2F2" w:themeFill="background1" w:themeFillShade="F2"/>
          </w:tcPr>
          <w:p w14:paraId="3C3B6FC3" w14:textId="79F795F8" w:rsidR="00DF2114" w:rsidRPr="0000628A" w:rsidRDefault="00DF2114" w:rsidP="0077279E">
            <w:pPr>
              <w:rPr>
                <w:b/>
              </w:rPr>
            </w:pPr>
            <w:r w:rsidRPr="0000628A">
              <w:rPr>
                <w:b/>
              </w:rPr>
              <w:t>Lease term</w:t>
            </w:r>
          </w:p>
        </w:tc>
        <w:tc>
          <w:tcPr>
            <w:tcW w:w="1050" w:type="dxa"/>
            <w:shd w:val="clear" w:color="auto" w:fill="F2F2F2" w:themeFill="background1" w:themeFillShade="F2"/>
          </w:tcPr>
          <w:p w14:paraId="4F3B6CCC" w14:textId="5D844F1C" w:rsidR="00DF2114" w:rsidRPr="0000628A" w:rsidRDefault="00DF2114" w:rsidP="0077279E">
            <w:pPr>
              <w:rPr>
                <w:b/>
              </w:rPr>
            </w:pPr>
          </w:p>
        </w:tc>
        <w:tc>
          <w:tcPr>
            <w:tcW w:w="3236" w:type="dxa"/>
            <w:shd w:val="clear" w:color="auto" w:fill="F2F2F2" w:themeFill="background1" w:themeFillShade="F2"/>
          </w:tcPr>
          <w:p w14:paraId="576C6C95" w14:textId="77777777" w:rsidR="00DF2114" w:rsidRPr="0000628A" w:rsidRDefault="00DF2114" w:rsidP="0077279E">
            <w:pPr>
              <w:rPr>
                <w:b/>
              </w:rPr>
            </w:pPr>
          </w:p>
        </w:tc>
      </w:tr>
      <w:tr w:rsidR="00725479" w14:paraId="6CDA2E78" w14:textId="6F82BC45" w:rsidTr="00725479">
        <w:trPr>
          <w:cantSplit/>
        </w:trPr>
        <w:tc>
          <w:tcPr>
            <w:tcW w:w="563" w:type="dxa"/>
          </w:tcPr>
          <w:p w14:paraId="62D35283" w14:textId="68EDD325" w:rsidR="00DF2114" w:rsidRDefault="005549E7" w:rsidP="00036663">
            <w:r>
              <w:t>6</w:t>
            </w:r>
            <w:r w:rsidR="00DF2114">
              <w:t>.1</w:t>
            </w:r>
          </w:p>
        </w:tc>
        <w:tc>
          <w:tcPr>
            <w:tcW w:w="5352" w:type="dxa"/>
          </w:tcPr>
          <w:p w14:paraId="251A4716" w14:textId="77777777" w:rsidR="00DF2114" w:rsidRDefault="00DF2114" w:rsidP="00036663">
            <w:r>
              <w:t>Record the lease commencement date, being the date the underlying asset is made available for use.</w:t>
            </w:r>
          </w:p>
          <w:p w14:paraId="59DE7FB8" w14:textId="0A714B7A" w:rsidR="00DF2114" w:rsidRDefault="00DF2114" w:rsidP="006E6F16">
            <w:pPr>
              <w:pStyle w:val="ListParagraph"/>
              <w:numPr>
                <w:ilvl w:val="0"/>
                <w:numId w:val="43"/>
              </w:numPr>
            </w:pPr>
            <w:r>
              <w:t>This includes any rent-free periods.</w:t>
            </w:r>
          </w:p>
        </w:tc>
        <w:tc>
          <w:tcPr>
            <w:tcW w:w="1050" w:type="dxa"/>
          </w:tcPr>
          <w:p w14:paraId="43C182BA" w14:textId="77777777" w:rsidR="00DF2114" w:rsidRDefault="00DF2114" w:rsidP="00036663">
            <w:r>
              <w:t>Appendix A</w:t>
            </w:r>
          </w:p>
          <w:p w14:paraId="0FF95FBA" w14:textId="6BC54216" w:rsidR="00DF2114" w:rsidRDefault="00DF2114" w:rsidP="00036663">
            <w:r>
              <w:t>B36</w:t>
            </w:r>
          </w:p>
        </w:tc>
        <w:tc>
          <w:tcPr>
            <w:tcW w:w="3236" w:type="dxa"/>
          </w:tcPr>
          <w:p w14:paraId="057D86A6" w14:textId="77777777" w:rsidR="00DF2114" w:rsidRDefault="00DF2114" w:rsidP="00036663"/>
        </w:tc>
      </w:tr>
      <w:tr w:rsidR="00F4207F" w14:paraId="6A1FD588" w14:textId="77777777" w:rsidTr="00725479">
        <w:trPr>
          <w:cantSplit/>
        </w:trPr>
        <w:tc>
          <w:tcPr>
            <w:tcW w:w="563" w:type="dxa"/>
          </w:tcPr>
          <w:p w14:paraId="49550DD5" w14:textId="2DAB3D6B" w:rsidR="00F4207F" w:rsidRDefault="005549E7" w:rsidP="00036663">
            <w:r>
              <w:t>6</w:t>
            </w:r>
            <w:r w:rsidR="00F4207F">
              <w:t>.2</w:t>
            </w:r>
          </w:p>
        </w:tc>
        <w:tc>
          <w:tcPr>
            <w:tcW w:w="5352" w:type="dxa"/>
          </w:tcPr>
          <w:p w14:paraId="5F007F44" w14:textId="2965082C" w:rsidR="00F4207F" w:rsidRDefault="00F4207F" w:rsidP="00036663">
            <w:r>
              <w:t>Record the lease end date or expiry date</w:t>
            </w:r>
          </w:p>
        </w:tc>
        <w:tc>
          <w:tcPr>
            <w:tcW w:w="1050" w:type="dxa"/>
          </w:tcPr>
          <w:p w14:paraId="311F3A35" w14:textId="77777777" w:rsidR="00F4207F" w:rsidRDefault="00F4207F" w:rsidP="00036663"/>
        </w:tc>
        <w:tc>
          <w:tcPr>
            <w:tcW w:w="3236" w:type="dxa"/>
          </w:tcPr>
          <w:p w14:paraId="1608C951" w14:textId="77777777" w:rsidR="00F4207F" w:rsidRDefault="00F4207F" w:rsidP="00036663"/>
        </w:tc>
      </w:tr>
      <w:tr w:rsidR="00725479" w14:paraId="159164F1" w14:textId="69751061" w:rsidTr="00725479">
        <w:trPr>
          <w:cantSplit/>
        </w:trPr>
        <w:tc>
          <w:tcPr>
            <w:tcW w:w="563" w:type="dxa"/>
          </w:tcPr>
          <w:p w14:paraId="3077970C" w14:textId="65468DCF" w:rsidR="00DF2114" w:rsidRDefault="005549E7" w:rsidP="00036663">
            <w:r>
              <w:t>6.3</w:t>
            </w:r>
          </w:p>
        </w:tc>
        <w:tc>
          <w:tcPr>
            <w:tcW w:w="5352" w:type="dxa"/>
          </w:tcPr>
          <w:p w14:paraId="2EFFD4ED" w14:textId="0BA412F2" w:rsidR="00DF2114" w:rsidRDefault="00DF2114" w:rsidP="00036663">
            <w:r>
              <w:t>Determine the non-cancellable period</w:t>
            </w:r>
          </w:p>
          <w:p w14:paraId="1EC82611" w14:textId="32358BFD" w:rsidR="00DF2114" w:rsidRDefault="00DF2114" w:rsidP="006D622D">
            <w:pPr>
              <w:pStyle w:val="ListParagraph"/>
              <w:numPr>
                <w:ilvl w:val="0"/>
                <w:numId w:val="25"/>
              </w:numPr>
            </w:pPr>
            <w:r>
              <w:t>Consider whether the agency can terminate the lease at any time without penalty, or can terminate the lease without penalty by giving a certain period of notice</w:t>
            </w:r>
          </w:p>
          <w:p w14:paraId="6BF590A6" w14:textId="0892209B" w:rsidR="00DF2114" w:rsidRDefault="00DF2114" w:rsidP="006D622D">
            <w:pPr>
              <w:pStyle w:val="ListParagraph"/>
              <w:numPr>
                <w:ilvl w:val="0"/>
                <w:numId w:val="25"/>
              </w:numPr>
            </w:pPr>
            <w:r>
              <w:t>If not, consider whether the agency</w:t>
            </w:r>
            <w:r w:rsidR="005912B4">
              <w:t xml:space="preserve"> is</w:t>
            </w:r>
            <w:r>
              <w:t xml:space="preserve"> locked into the lease agreement for the entire lease term as stated in the lease agreement</w:t>
            </w:r>
          </w:p>
        </w:tc>
        <w:tc>
          <w:tcPr>
            <w:tcW w:w="1050" w:type="dxa"/>
          </w:tcPr>
          <w:p w14:paraId="3397FD2E" w14:textId="77777777" w:rsidR="00DF2114" w:rsidRDefault="00DF2114" w:rsidP="00036663">
            <w:r>
              <w:t>18</w:t>
            </w:r>
          </w:p>
          <w:p w14:paraId="46BB2BF0" w14:textId="7095883A" w:rsidR="00DF2114" w:rsidRDefault="00DF2114" w:rsidP="00036663">
            <w:r>
              <w:t>B34-B35</w:t>
            </w:r>
          </w:p>
        </w:tc>
        <w:tc>
          <w:tcPr>
            <w:tcW w:w="3236" w:type="dxa"/>
          </w:tcPr>
          <w:p w14:paraId="4B024E47" w14:textId="77777777" w:rsidR="00DF2114" w:rsidRDefault="00DF2114" w:rsidP="00036663"/>
        </w:tc>
      </w:tr>
      <w:tr w:rsidR="00725479" w14:paraId="748DF9A3" w14:textId="3BD19498" w:rsidTr="00725479">
        <w:trPr>
          <w:cantSplit/>
        </w:trPr>
        <w:tc>
          <w:tcPr>
            <w:tcW w:w="563" w:type="dxa"/>
          </w:tcPr>
          <w:p w14:paraId="010D0EB9" w14:textId="7DBA04EC" w:rsidR="00DF2114" w:rsidRDefault="005549E7" w:rsidP="003022D0">
            <w:r>
              <w:t>6.4</w:t>
            </w:r>
          </w:p>
        </w:tc>
        <w:tc>
          <w:tcPr>
            <w:tcW w:w="5352" w:type="dxa"/>
          </w:tcPr>
          <w:p w14:paraId="70B9BBD9" w14:textId="4BE3D3FA" w:rsidR="00DF2114" w:rsidRDefault="00DF2114" w:rsidP="003022D0">
            <w:r>
              <w:t>Identify and assess options to extend the lease</w:t>
            </w:r>
          </w:p>
          <w:p w14:paraId="585577C5" w14:textId="109C838D" w:rsidR="00DF2114" w:rsidRDefault="00DF2114" w:rsidP="00C3244F">
            <w:pPr>
              <w:pStyle w:val="ListParagraph"/>
              <w:numPr>
                <w:ilvl w:val="0"/>
                <w:numId w:val="26"/>
              </w:numPr>
            </w:pPr>
            <w:r>
              <w:t>Identify extension options beyond the lease term specified in the lease agreement</w:t>
            </w:r>
          </w:p>
          <w:p w14:paraId="0D18C346" w14:textId="4525593A" w:rsidR="00DF2114" w:rsidRDefault="00DF2114" w:rsidP="00C3244F">
            <w:pPr>
              <w:pStyle w:val="ListParagraph"/>
              <w:numPr>
                <w:ilvl w:val="0"/>
                <w:numId w:val="26"/>
              </w:numPr>
            </w:pPr>
            <w:r>
              <w:t>If there are any, assess whether the agency is reasonably certain (as at the commencement date) to exercise any extension options. For transition purposes, agencies can use hindsight in making this assessment.</w:t>
            </w:r>
          </w:p>
        </w:tc>
        <w:tc>
          <w:tcPr>
            <w:tcW w:w="1050" w:type="dxa"/>
          </w:tcPr>
          <w:p w14:paraId="36D2F6BA" w14:textId="160B3B26" w:rsidR="00DF2114" w:rsidRDefault="00DF2114" w:rsidP="00036663">
            <w:r>
              <w:t>18(a)</w:t>
            </w:r>
          </w:p>
          <w:p w14:paraId="47E8D302" w14:textId="2DF2EA41" w:rsidR="00DF2114" w:rsidRDefault="00DF2114" w:rsidP="00036663">
            <w:r>
              <w:t>19</w:t>
            </w:r>
          </w:p>
          <w:p w14:paraId="28BBBB89" w14:textId="2B92B914" w:rsidR="00DF2114" w:rsidRDefault="00DF2114" w:rsidP="00036663">
            <w:r>
              <w:t>B37-B40</w:t>
            </w:r>
          </w:p>
          <w:p w14:paraId="0A081EB0" w14:textId="51F00C09" w:rsidR="00DF2114" w:rsidRDefault="00DF2114" w:rsidP="00036663">
            <w:r>
              <w:t>C10(e)</w:t>
            </w:r>
          </w:p>
        </w:tc>
        <w:tc>
          <w:tcPr>
            <w:tcW w:w="3236" w:type="dxa"/>
          </w:tcPr>
          <w:p w14:paraId="723E70F8" w14:textId="77777777" w:rsidR="00DF2114" w:rsidRDefault="00DF2114" w:rsidP="00036663"/>
        </w:tc>
      </w:tr>
      <w:tr w:rsidR="00F4207F" w14:paraId="5BADB85B" w14:textId="77777777" w:rsidTr="00725479">
        <w:trPr>
          <w:cantSplit/>
        </w:trPr>
        <w:tc>
          <w:tcPr>
            <w:tcW w:w="563" w:type="dxa"/>
          </w:tcPr>
          <w:p w14:paraId="2FC842B9" w14:textId="50365C97" w:rsidR="00F4207F" w:rsidRDefault="005549E7" w:rsidP="003022D0">
            <w:r>
              <w:lastRenderedPageBreak/>
              <w:t>6.5</w:t>
            </w:r>
          </w:p>
        </w:tc>
        <w:tc>
          <w:tcPr>
            <w:tcW w:w="5352" w:type="dxa"/>
          </w:tcPr>
          <w:p w14:paraId="30B4857B" w14:textId="61D55819" w:rsidR="00F4207F" w:rsidRDefault="00F4207F" w:rsidP="003022D0">
            <w:r>
              <w:t xml:space="preserve">Identify and record terms for </w:t>
            </w:r>
            <w:r w:rsidR="00BD5897">
              <w:t xml:space="preserve">early </w:t>
            </w:r>
            <w:r>
              <w:t>termination by the lessee and the lessor</w:t>
            </w:r>
          </w:p>
        </w:tc>
        <w:tc>
          <w:tcPr>
            <w:tcW w:w="1050" w:type="dxa"/>
          </w:tcPr>
          <w:p w14:paraId="18718419" w14:textId="19A3E997" w:rsidR="00F4207F" w:rsidRDefault="005549E7" w:rsidP="00036663">
            <w:r>
              <w:t>B</w:t>
            </w:r>
            <w:r w:rsidR="00BD5897">
              <w:t>34-B</w:t>
            </w:r>
            <w:r>
              <w:t>35</w:t>
            </w:r>
          </w:p>
        </w:tc>
        <w:tc>
          <w:tcPr>
            <w:tcW w:w="3236" w:type="dxa"/>
          </w:tcPr>
          <w:p w14:paraId="55E56056" w14:textId="77777777" w:rsidR="00F4207F" w:rsidRDefault="00F4207F" w:rsidP="00036663"/>
        </w:tc>
      </w:tr>
      <w:tr w:rsidR="00725479" w14:paraId="78A3F484" w14:textId="5C1E9D01" w:rsidTr="00725479">
        <w:trPr>
          <w:cantSplit/>
        </w:trPr>
        <w:tc>
          <w:tcPr>
            <w:tcW w:w="563" w:type="dxa"/>
          </w:tcPr>
          <w:p w14:paraId="698A21C8" w14:textId="3F0BC704" w:rsidR="00DF2114" w:rsidRDefault="005549E7" w:rsidP="003022D0">
            <w:r>
              <w:t>6.6</w:t>
            </w:r>
          </w:p>
        </w:tc>
        <w:tc>
          <w:tcPr>
            <w:tcW w:w="5352" w:type="dxa"/>
          </w:tcPr>
          <w:p w14:paraId="460FAD4C" w14:textId="44EAC1D8" w:rsidR="00DF2114" w:rsidRDefault="00DF2114" w:rsidP="003022D0">
            <w:r>
              <w:t>Assess the likelihood of early termination</w:t>
            </w:r>
            <w:r w:rsidR="00F4207F">
              <w:t xml:space="preserve"> by the agency</w:t>
            </w:r>
          </w:p>
          <w:p w14:paraId="4A071823" w14:textId="5AF62818" w:rsidR="00DF2114" w:rsidRDefault="00DF2114" w:rsidP="00DB6031">
            <w:pPr>
              <w:pStyle w:val="ListParagraph"/>
              <w:numPr>
                <w:ilvl w:val="0"/>
                <w:numId w:val="27"/>
              </w:numPr>
            </w:pPr>
            <w:r>
              <w:t>Consider whether the agency is reasonably certain to lease the asset until the end of the lease term stated in the agreement</w:t>
            </w:r>
          </w:p>
          <w:p w14:paraId="09B9A674" w14:textId="796CFD9C" w:rsidR="00DF2114" w:rsidRDefault="00DF2114" w:rsidP="00DB6031">
            <w:pPr>
              <w:pStyle w:val="ListParagraph"/>
              <w:numPr>
                <w:ilvl w:val="0"/>
                <w:numId w:val="27"/>
              </w:numPr>
            </w:pPr>
            <w:r>
              <w:t xml:space="preserve">If not, estimate the minimum period for which the agency is reasonably certain to lease the asset, taking into account </w:t>
            </w:r>
            <w:r w:rsidR="00F4207F">
              <w:t>early termination conditions and any penalties attached</w:t>
            </w:r>
          </w:p>
        </w:tc>
        <w:tc>
          <w:tcPr>
            <w:tcW w:w="1050" w:type="dxa"/>
          </w:tcPr>
          <w:p w14:paraId="4984337D" w14:textId="7346133E" w:rsidR="00DF2114" w:rsidRDefault="00DF2114" w:rsidP="00036663">
            <w:r>
              <w:t>18(b)</w:t>
            </w:r>
          </w:p>
          <w:p w14:paraId="625D1BB2" w14:textId="45C676F2" w:rsidR="00DF2114" w:rsidRDefault="00DF2114" w:rsidP="00036663">
            <w:r>
              <w:t>19</w:t>
            </w:r>
          </w:p>
          <w:p w14:paraId="32336484" w14:textId="5B1180BA" w:rsidR="00DF2114" w:rsidRDefault="00DF2114" w:rsidP="00036663">
            <w:r>
              <w:t>B37-B40</w:t>
            </w:r>
          </w:p>
        </w:tc>
        <w:tc>
          <w:tcPr>
            <w:tcW w:w="3236" w:type="dxa"/>
          </w:tcPr>
          <w:p w14:paraId="1D7A0682" w14:textId="77777777" w:rsidR="00DF2114" w:rsidRDefault="00DF2114" w:rsidP="00036663"/>
        </w:tc>
      </w:tr>
      <w:tr w:rsidR="00725479" w14:paraId="001D3E50" w14:textId="4FE0C264" w:rsidTr="00725479">
        <w:trPr>
          <w:cantSplit/>
        </w:trPr>
        <w:tc>
          <w:tcPr>
            <w:tcW w:w="563" w:type="dxa"/>
          </w:tcPr>
          <w:p w14:paraId="6D19CC40" w14:textId="4B871B59" w:rsidR="00DF2114" w:rsidRDefault="005549E7" w:rsidP="003022D0">
            <w:r>
              <w:t>6.7</w:t>
            </w:r>
          </w:p>
        </w:tc>
        <w:tc>
          <w:tcPr>
            <w:tcW w:w="5352" w:type="dxa"/>
          </w:tcPr>
          <w:p w14:paraId="49FA9A76" w14:textId="2E073EF6" w:rsidR="00DF2114" w:rsidRDefault="00DF2114" w:rsidP="006E6F16">
            <w:r>
              <w:t>After taking into account extension and termination options, decide on the lease term to be used for accounting under AASB 16</w:t>
            </w:r>
          </w:p>
        </w:tc>
        <w:tc>
          <w:tcPr>
            <w:tcW w:w="1050" w:type="dxa"/>
          </w:tcPr>
          <w:p w14:paraId="2E049036" w14:textId="417892F3" w:rsidR="00DF2114" w:rsidRDefault="00DF2114" w:rsidP="00036663">
            <w:r>
              <w:t>18</w:t>
            </w:r>
          </w:p>
        </w:tc>
        <w:tc>
          <w:tcPr>
            <w:tcW w:w="3236" w:type="dxa"/>
          </w:tcPr>
          <w:p w14:paraId="7C8E54CF" w14:textId="77777777" w:rsidR="00DF2114" w:rsidRDefault="00DF2114" w:rsidP="00036663"/>
        </w:tc>
      </w:tr>
      <w:tr w:rsidR="00725479" w14:paraId="7CC6C003" w14:textId="5782D116" w:rsidTr="00725479">
        <w:trPr>
          <w:cantSplit/>
        </w:trPr>
        <w:tc>
          <w:tcPr>
            <w:tcW w:w="563" w:type="dxa"/>
          </w:tcPr>
          <w:p w14:paraId="64EC6E11" w14:textId="0F6DA385" w:rsidR="00DF2114" w:rsidRDefault="005549E7" w:rsidP="003022D0">
            <w:r>
              <w:t>6.8</w:t>
            </w:r>
          </w:p>
        </w:tc>
        <w:tc>
          <w:tcPr>
            <w:tcW w:w="5352" w:type="dxa"/>
          </w:tcPr>
          <w:p w14:paraId="4F4F4E7C" w14:textId="1E630913" w:rsidR="00DF2114" w:rsidRDefault="00DF2114" w:rsidP="006E6F16">
            <w:r>
              <w:t xml:space="preserve">Assess whether the lease term </w:t>
            </w:r>
            <w:r w:rsidR="005912B4">
              <w:t xml:space="preserve">is </w:t>
            </w:r>
            <w:r>
              <w:t>12 months or less</w:t>
            </w:r>
          </w:p>
          <w:p w14:paraId="190F2B19" w14:textId="77777777" w:rsidR="00DF2114" w:rsidRDefault="00DF2114" w:rsidP="006E6F16">
            <w:pPr>
              <w:pStyle w:val="ListParagraph"/>
              <w:numPr>
                <w:ilvl w:val="0"/>
                <w:numId w:val="44"/>
              </w:numPr>
            </w:pPr>
            <w:r>
              <w:t xml:space="preserve">If the lease term is 12 months or less, it will be a short-term lease unless there is a purchase option. </w:t>
            </w:r>
          </w:p>
          <w:p w14:paraId="51A5861F" w14:textId="77777777" w:rsidR="00DF2114" w:rsidRDefault="00DF2114" w:rsidP="006E6F16">
            <w:pPr>
              <w:pStyle w:val="ListParagraph"/>
              <w:numPr>
                <w:ilvl w:val="0"/>
                <w:numId w:val="44"/>
              </w:numPr>
            </w:pPr>
            <w:r>
              <w:t>Agencies must apply the exemption in para 5(a) for all short-term leases.</w:t>
            </w:r>
          </w:p>
          <w:p w14:paraId="5D475C03" w14:textId="1C7EC069" w:rsidR="00DF2114" w:rsidRDefault="00DF2114" w:rsidP="007E5A42">
            <w:r w:rsidRPr="00B968D4">
              <w:rPr>
                <w:u w:val="single"/>
              </w:rPr>
              <w:t>Note for transition only</w:t>
            </w:r>
            <w:r w:rsidRPr="00B968D4">
              <w:t>:</w:t>
            </w:r>
            <w:r>
              <w:t xml:space="preserve"> If, as at 1 July 2019, the remaining lease term is 12 months or less, it can also be treated as a short-term lease.</w:t>
            </w:r>
          </w:p>
        </w:tc>
        <w:tc>
          <w:tcPr>
            <w:tcW w:w="1050" w:type="dxa"/>
          </w:tcPr>
          <w:p w14:paraId="65E25E6C" w14:textId="77777777" w:rsidR="00DF2114" w:rsidRDefault="00DF2114" w:rsidP="00036663">
            <w:r>
              <w:t>5(a)</w:t>
            </w:r>
          </w:p>
          <w:p w14:paraId="15A1D721" w14:textId="384D4A93" w:rsidR="00DF2114" w:rsidRDefault="00DF2114" w:rsidP="00036663">
            <w:r>
              <w:t>C10(c)</w:t>
            </w:r>
          </w:p>
        </w:tc>
        <w:tc>
          <w:tcPr>
            <w:tcW w:w="3236" w:type="dxa"/>
          </w:tcPr>
          <w:p w14:paraId="509C178D" w14:textId="77777777" w:rsidR="00DF2114" w:rsidRDefault="00DF2114" w:rsidP="00036663"/>
        </w:tc>
      </w:tr>
      <w:tr w:rsidR="00725479" w14:paraId="11B09213" w14:textId="2946BE89" w:rsidTr="00725479">
        <w:trPr>
          <w:cantSplit/>
        </w:trPr>
        <w:tc>
          <w:tcPr>
            <w:tcW w:w="563" w:type="dxa"/>
            <w:shd w:val="clear" w:color="auto" w:fill="F2F2F2" w:themeFill="background1" w:themeFillShade="F2"/>
          </w:tcPr>
          <w:p w14:paraId="790ED0D5" w14:textId="74D5C333" w:rsidR="00DF2114" w:rsidRPr="0000628A" w:rsidRDefault="005549E7" w:rsidP="003022D0">
            <w:pPr>
              <w:rPr>
                <w:b/>
              </w:rPr>
            </w:pPr>
            <w:r>
              <w:rPr>
                <w:b/>
              </w:rPr>
              <w:t>7</w:t>
            </w:r>
          </w:p>
        </w:tc>
        <w:tc>
          <w:tcPr>
            <w:tcW w:w="5352" w:type="dxa"/>
            <w:shd w:val="clear" w:color="auto" w:fill="F2F2F2" w:themeFill="background1" w:themeFillShade="F2"/>
          </w:tcPr>
          <w:p w14:paraId="178712CE" w14:textId="2C8157B7" w:rsidR="00DF2114" w:rsidRPr="0000628A" w:rsidRDefault="00DF2114" w:rsidP="003022D0">
            <w:pPr>
              <w:rPr>
                <w:b/>
              </w:rPr>
            </w:pPr>
            <w:r w:rsidRPr="0000628A">
              <w:rPr>
                <w:b/>
              </w:rPr>
              <w:t>Lease liability measurement</w:t>
            </w:r>
          </w:p>
        </w:tc>
        <w:tc>
          <w:tcPr>
            <w:tcW w:w="1050" w:type="dxa"/>
            <w:shd w:val="clear" w:color="auto" w:fill="F2F2F2" w:themeFill="background1" w:themeFillShade="F2"/>
          </w:tcPr>
          <w:p w14:paraId="33E92155" w14:textId="7B6863EA" w:rsidR="00DF2114" w:rsidRPr="0000628A" w:rsidRDefault="00DF2114" w:rsidP="00036663">
            <w:pPr>
              <w:rPr>
                <w:b/>
              </w:rPr>
            </w:pPr>
          </w:p>
        </w:tc>
        <w:tc>
          <w:tcPr>
            <w:tcW w:w="3236" w:type="dxa"/>
            <w:shd w:val="clear" w:color="auto" w:fill="F2F2F2" w:themeFill="background1" w:themeFillShade="F2"/>
          </w:tcPr>
          <w:p w14:paraId="1A0861D7" w14:textId="77777777" w:rsidR="00DF2114" w:rsidRPr="0000628A" w:rsidRDefault="00DF2114" w:rsidP="00036663">
            <w:pPr>
              <w:rPr>
                <w:b/>
              </w:rPr>
            </w:pPr>
          </w:p>
        </w:tc>
      </w:tr>
      <w:tr w:rsidR="00725479" w14:paraId="219F8F75" w14:textId="20E90209" w:rsidTr="00725479">
        <w:trPr>
          <w:cantSplit/>
        </w:trPr>
        <w:tc>
          <w:tcPr>
            <w:tcW w:w="563" w:type="dxa"/>
          </w:tcPr>
          <w:p w14:paraId="1FB5FF3F" w14:textId="73536DF9" w:rsidR="00DF2114" w:rsidRDefault="005549E7" w:rsidP="00036663">
            <w:r>
              <w:t>7</w:t>
            </w:r>
            <w:r w:rsidR="00DF2114">
              <w:t>.1</w:t>
            </w:r>
          </w:p>
        </w:tc>
        <w:tc>
          <w:tcPr>
            <w:tcW w:w="5352" w:type="dxa"/>
          </w:tcPr>
          <w:p w14:paraId="355A2137" w14:textId="0C868557" w:rsidR="00DF2114" w:rsidRDefault="00DF2114" w:rsidP="00036663">
            <w:r>
              <w:t>Determine the appropriate discount rate</w:t>
            </w:r>
          </w:p>
          <w:p w14:paraId="740EE12B" w14:textId="50A6CE7D" w:rsidR="00DF2114" w:rsidRDefault="00DF2114" w:rsidP="00B968D4">
            <w:pPr>
              <w:pStyle w:val="ListParagraph"/>
              <w:numPr>
                <w:ilvl w:val="0"/>
                <w:numId w:val="31"/>
              </w:numPr>
            </w:pPr>
            <w:r>
              <w:t>Is the interest rate implicit in the lease specified in the lease agreement, or otherwise provided by the lessor?</w:t>
            </w:r>
          </w:p>
          <w:p w14:paraId="5507066F" w14:textId="77777777" w:rsidR="00DF2114" w:rsidRDefault="00DF2114" w:rsidP="00503DC5">
            <w:pPr>
              <w:pStyle w:val="ListParagraph"/>
              <w:numPr>
                <w:ilvl w:val="0"/>
                <w:numId w:val="31"/>
              </w:numPr>
            </w:pPr>
            <w:r>
              <w:t>If not, the agency can use their incremental borrowing rate, e.g. QTC fixed rate loan rates appropriate for the lease term and month of commencement.</w:t>
            </w:r>
          </w:p>
          <w:p w14:paraId="2C9488FD" w14:textId="4879C039" w:rsidR="00DF2114" w:rsidRDefault="00DF2114" w:rsidP="00503DC5">
            <w:r w:rsidRPr="00B968D4">
              <w:rPr>
                <w:u w:val="single"/>
              </w:rPr>
              <w:t>Note for transition only</w:t>
            </w:r>
            <w:r>
              <w:t xml:space="preserve">: Agencies </w:t>
            </w:r>
            <w:r w:rsidRPr="00F93A39">
              <w:rPr>
                <w:u w:val="single"/>
              </w:rPr>
              <w:t>must</w:t>
            </w:r>
            <w:r>
              <w:t xml:space="preserve"> use their incremental borrowing rate at 1 July 2019, and can consider whether to apply a single discount rate for a portfolio of leases with reasonably similar characteristics (e.g. lease term, asset class).</w:t>
            </w:r>
          </w:p>
        </w:tc>
        <w:tc>
          <w:tcPr>
            <w:tcW w:w="1050" w:type="dxa"/>
          </w:tcPr>
          <w:p w14:paraId="0396FED7" w14:textId="5DCE2D78" w:rsidR="00DF2114" w:rsidRDefault="00DF2114" w:rsidP="00036663">
            <w:r>
              <w:t>26</w:t>
            </w:r>
          </w:p>
          <w:p w14:paraId="49B32DC2" w14:textId="0F367969" w:rsidR="00DF2114" w:rsidRDefault="00DF2114" w:rsidP="00036663">
            <w:r>
              <w:t>C8(a)</w:t>
            </w:r>
          </w:p>
          <w:p w14:paraId="59580AB4" w14:textId="381A236F" w:rsidR="00DF2114" w:rsidRDefault="00DF2114" w:rsidP="00036663">
            <w:r>
              <w:t>C10(a)</w:t>
            </w:r>
          </w:p>
        </w:tc>
        <w:tc>
          <w:tcPr>
            <w:tcW w:w="3236" w:type="dxa"/>
          </w:tcPr>
          <w:p w14:paraId="25FFE1A5" w14:textId="77777777" w:rsidR="00DF2114" w:rsidRDefault="00DF2114" w:rsidP="00036663"/>
        </w:tc>
      </w:tr>
      <w:tr w:rsidR="00725479" w14:paraId="3EB4163E" w14:textId="4AE2CE20" w:rsidTr="00725479">
        <w:trPr>
          <w:cantSplit/>
        </w:trPr>
        <w:tc>
          <w:tcPr>
            <w:tcW w:w="563" w:type="dxa"/>
          </w:tcPr>
          <w:p w14:paraId="6859ADC7" w14:textId="54DE4D00" w:rsidR="00DF2114" w:rsidRDefault="005549E7" w:rsidP="006D622D">
            <w:r>
              <w:t>7</w:t>
            </w:r>
            <w:r w:rsidR="00DF2114">
              <w:t>.2</w:t>
            </w:r>
          </w:p>
        </w:tc>
        <w:tc>
          <w:tcPr>
            <w:tcW w:w="5352" w:type="dxa"/>
          </w:tcPr>
          <w:p w14:paraId="39D81CF4" w14:textId="3A04E1DD" w:rsidR="00DF2114" w:rsidRDefault="00DF2114" w:rsidP="006D622D">
            <w:r>
              <w:t>Record details about lease payments and future rent increases provided for in the lease agreement</w:t>
            </w:r>
          </w:p>
          <w:p w14:paraId="0F9AB7D1" w14:textId="305C4654" w:rsidR="00DF2114" w:rsidRDefault="00DF2114" w:rsidP="006D622D">
            <w:r>
              <w:t>Rent increases may be:</w:t>
            </w:r>
          </w:p>
          <w:p w14:paraId="3C4BE04B" w14:textId="1F3205AA" w:rsidR="00DF2114" w:rsidRDefault="00DF2114" w:rsidP="00192E72">
            <w:pPr>
              <w:pStyle w:val="ListParagraph"/>
              <w:numPr>
                <w:ilvl w:val="0"/>
                <w:numId w:val="30"/>
              </w:numPr>
            </w:pPr>
            <w:r>
              <w:t>fixed, e.g. 3.5% per year</w:t>
            </w:r>
          </w:p>
          <w:p w14:paraId="4D57FC2D" w14:textId="2D3FCFE7" w:rsidR="00DF2114" w:rsidRDefault="00DF2114" w:rsidP="00192E72">
            <w:pPr>
              <w:pStyle w:val="ListParagraph"/>
              <w:numPr>
                <w:ilvl w:val="0"/>
                <w:numId w:val="30"/>
              </w:numPr>
            </w:pPr>
            <w:r>
              <w:t>variable and linked to an index or rate, e.g. CPI, market rent review</w:t>
            </w:r>
          </w:p>
          <w:p w14:paraId="3ED36938" w14:textId="26CE64E2" w:rsidR="00DF2114" w:rsidRDefault="00DF2114" w:rsidP="00192E72">
            <w:pPr>
              <w:pStyle w:val="ListParagraph"/>
              <w:numPr>
                <w:ilvl w:val="0"/>
                <w:numId w:val="30"/>
              </w:numPr>
            </w:pPr>
            <w:r>
              <w:t>a combination of fixed and variable, e.g. CPI plus 2%, higher of CPI and 3.5%, 3% for 5 years followed by a market rent review</w:t>
            </w:r>
          </w:p>
          <w:p w14:paraId="7F441C6C" w14:textId="77777777" w:rsidR="00DF2114" w:rsidRDefault="00DF2114" w:rsidP="004409FC">
            <w:pPr>
              <w:pStyle w:val="ListParagraph"/>
              <w:numPr>
                <w:ilvl w:val="0"/>
                <w:numId w:val="30"/>
              </w:numPr>
            </w:pPr>
            <w:r>
              <w:t>specified upfront in a schedule in the lease agreement</w:t>
            </w:r>
          </w:p>
          <w:p w14:paraId="77D744B8" w14:textId="6F81443B" w:rsidR="00DF2114" w:rsidRDefault="00DF2114" w:rsidP="005B4AE3">
            <w:r>
              <w:t>Also consider</w:t>
            </w:r>
            <w:r w:rsidR="003A3676">
              <w:t xml:space="preserve"> </w:t>
            </w:r>
            <w:r>
              <w:t>any rent-free periods</w:t>
            </w:r>
          </w:p>
        </w:tc>
        <w:tc>
          <w:tcPr>
            <w:tcW w:w="1050" w:type="dxa"/>
          </w:tcPr>
          <w:p w14:paraId="77C0AA6A" w14:textId="5D212858" w:rsidR="00DF2114" w:rsidRDefault="00DF2114" w:rsidP="00036663">
            <w:r>
              <w:t>27(a)-(b)</w:t>
            </w:r>
          </w:p>
          <w:p w14:paraId="5C15A4FD" w14:textId="25D20029" w:rsidR="00DF2114" w:rsidRDefault="00DF2114" w:rsidP="00036663">
            <w:r>
              <w:t>28</w:t>
            </w:r>
          </w:p>
          <w:p w14:paraId="18743F7B" w14:textId="4432BE4A" w:rsidR="00DF2114" w:rsidRDefault="00DF2114" w:rsidP="00036663">
            <w:r>
              <w:t>B42</w:t>
            </w:r>
          </w:p>
        </w:tc>
        <w:tc>
          <w:tcPr>
            <w:tcW w:w="3236" w:type="dxa"/>
          </w:tcPr>
          <w:p w14:paraId="7A0A6F19" w14:textId="77777777" w:rsidR="00DF2114" w:rsidRDefault="00DF2114" w:rsidP="00036663"/>
        </w:tc>
      </w:tr>
      <w:tr w:rsidR="00725479" w14:paraId="03C06EA2" w14:textId="1FBECB6A" w:rsidTr="00725479">
        <w:trPr>
          <w:cantSplit/>
        </w:trPr>
        <w:tc>
          <w:tcPr>
            <w:tcW w:w="563" w:type="dxa"/>
          </w:tcPr>
          <w:p w14:paraId="13DE9BAA" w14:textId="394E9863" w:rsidR="00DF2114" w:rsidRDefault="005549E7" w:rsidP="006D622D">
            <w:r>
              <w:lastRenderedPageBreak/>
              <w:t>7</w:t>
            </w:r>
            <w:r w:rsidR="00DF2114">
              <w:t>.3</w:t>
            </w:r>
          </w:p>
        </w:tc>
        <w:tc>
          <w:tcPr>
            <w:tcW w:w="5352" w:type="dxa"/>
          </w:tcPr>
          <w:p w14:paraId="564E8AC2" w14:textId="77777777" w:rsidR="00DF2114" w:rsidRDefault="00DF2114" w:rsidP="006D622D">
            <w:r>
              <w:t>Identify any variable lease payments that do not depend on an index or rate, for example payments that will be based on actual usage, output, patronage, etc.</w:t>
            </w:r>
          </w:p>
          <w:p w14:paraId="507BCBA2" w14:textId="09F74B5C" w:rsidR="00DF2114" w:rsidRDefault="00DF2114" w:rsidP="00DC5330">
            <w:pPr>
              <w:pStyle w:val="ListParagraph"/>
              <w:numPr>
                <w:ilvl w:val="0"/>
                <w:numId w:val="42"/>
              </w:numPr>
            </w:pPr>
            <w:r>
              <w:t>These payments are not included in the measurement of the lease liability, instead they will be accounted for in accordance with para 38(b).</w:t>
            </w:r>
          </w:p>
        </w:tc>
        <w:tc>
          <w:tcPr>
            <w:tcW w:w="1050" w:type="dxa"/>
          </w:tcPr>
          <w:p w14:paraId="2E69B49A" w14:textId="28424C2B" w:rsidR="00DF2114" w:rsidRDefault="00DF2114" w:rsidP="00036663">
            <w:r>
              <w:t>28</w:t>
            </w:r>
          </w:p>
          <w:p w14:paraId="383FD44D" w14:textId="5AACB35C" w:rsidR="00DF2114" w:rsidRDefault="00DF2114" w:rsidP="00036663">
            <w:r>
              <w:t>38(b)</w:t>
            </w:r>
          </w:p>
        </w:tc>
        <w:tc>
          <w:tcPr>
            <w:tcW w:w="3236" w:type="dxa"/>
          </w:tcPr>
          <w:p w14:paraId="758E75B9" w14:textId="77777777" w:rsidR="00DF2114" w:rsidRDefault="00DF2114" w:rsidP="00036663"/>
        </w:tc>
      </w:tr>
      <w:tr w:rsidR="00725479" w14:paraId="3E72990E" w14:textId="51558D13" w:rsidTr="00725479">
        <w:trPr>
          <w:cantSplit/>
        </w:trPr>
        <w:tc>
          <w:tcPr>
            <w:tcW w:w="563" w:type="dxa"/>
          </w:tcPr>
          <w:p w14:paraId="47250591" w14:textId="582031DD" w:rsidR="00DF2114" w:rsidRDefault="005549E7" w:rsidP="006D622D">
            <w:r>
              <w:t>7</w:t>
            </w:r>
            <w:r w:rsidR="00DF2114">
              <w:t>.4</w:t>
            </w:r>
          </w:p>
        </w:tc>
        <w:tc>
          <w:tcPr>
            <w:tcW w:w="5352" w:type="dxa"/>
          </w:tcPr>
          <w:p w14:paraId="7B89749D" w14:textId="7A772074" w:rsidR="00DF2114" w:rsidRDefault="00DF2114" w:rsidP="006D622D">
            <w:r>
              <w:t>Estimate the future amount payable under residual value guarantees (if any)</w:t>
            </w:r>
          </w:p>
          <w:p w14:paraId="369A451E" w14:textId="7704F95C" w:rsidR="00DF2114" w:rsidRDefault="00DF2114" w:rsidP="004409FC">
            <w:pPr>
              <w:pStyle w:val="ListParagraph"/>
              <w:numPr>
                <w:ilvl w:val="0"/>
                <w:numId w:val="32"/>
              </w:numPr>
            </w:pPr>
            <w:r>
              <w:t>This is ordinarily the shortfall between the expected residual value of the asset at the end of the lease and the residual value guarantee.</w:t>
            </w:r>
          </w:p>
        </w:tc>
        <w:tc>
          <w:tcPr>
            <w:tcW w:w="1050" w:type="dxa"/>
          </w:tcPr>
          <w:p w14:paraId="575A4E16" w14:textId="0B6C2820" w:rsidR="00DF2114" w:rsidRDefault="00DF2114" w:rsidP="00036663">
            <w:r>
              <w:t>27(c)</w:t>
            </w:r>
          </w:p>
        </w:tc>
        <w:tc>
          <w:tcPr>
            <w:tcW w:w="3236" w:type="dxa"/>
          </w:tcPr>
          <w:p w14:paraId="5A120272" w14:textId="77777777" w:rsidR="00DF2114" w:rsidRDefault="00DF2114" w:rsidP="00036663"/>
        </w:tc>
      </w:tr>
      <w:tr w:rsidR="00725479" w14:paraId="11F93DD8" w14:textId="35A033C0" w:rsidTr="00725479">
        <w:trPr>
          <w:cantSplit/>
        </w:trPr>
        <w:tc>
          <w:tcPr>
            <w:tcW w:w="563" w:type="dxa"/>
          </w:tcPr>
          <w:p w14:paraId="741F2D8E" w14:textId="45E90A9E" w:rsidR="00DF2114" w:rsidRDefault="005549E7" w:rsidP="00036663">
            <w:r>
              <w:t>7</w:t>
            </w:r>
            <w:r w:rsidR="00DF2114">
              <w:t>.5</w:t>
            </w:r>
          </w:p>
        </w:tc>
        <w:tc>
          <w:tcPr>
            <w:tcW w:w="5352" w:type="dxa"/>
          </w:tcPr>
          <w:p w14:paraId="1467E2E8" w14:textId="1CA153F9" w:rsidR="00DF2114" w:rsidRDefault="00DF2114" w:rsidP="00036663">
            <w:r>
              <w:t>Assess the likelihood of exercising a purchase option (if any)</w:t>
            </w:r>
          </w:p>
          <w:p w14:paraId="3E2279CC" w14:textId="77777777" w:rsidR="00DF2114" w:rsidRDefault="00DF2114" w:rsidP="004409FC">
            <w:pPr>
              <w:pStyle w:val="ListParagraph"/>
              <w:numPr>
                <w:ilvl w:val="0"/>
                <w:numId w:val="32"/>
              </w:numPr>
            </w:pPr>
            <w:r>
              <w:t>Is the agency reasonably certain to exercise the purchase option?</w:t>
            </w:r>
          </w:p>
          <w:p w14:paraId="4D66799D" w14:textId="09DD1F44" w:rsidR="00DF2114" w:rsidRDefault="00DF2114" w:rsidP="004409FC">
            <w:pPr>
              <w:pStyle w:val="ListParagraph"/>
              <w:numPr>
                <w:ilvl w:val="0"/>
                <w:numId w:val="32"/>
              </w:numPr>
            </w:pPr>
            <w:r>
              <w:t>If so, include the purchase payment when calculating the liability, and depreciate the right-of-use asset over the useful life of the underlying asset</w:t>
            </w:r>
          </w:p>
        </w:tc>
        <w:tc>
          <w:tcPr>
            <w:tcW w:w="1050" w:type="dxa"/>
          </w:tcPr>
          <w:p w14:paraId="142C33BE" w14:textId="77777777" w:rsidR="00DF2114" w:rsidRDefault="00DF2114" w:rsidP="00036663">
            <w:r>
              <w:t>27(d)</w:t>
            </w:r>
          </w:p>
          <w:p w14:paraId="6F545978" w14:textId="48CDA47D" w:rsidR="00DF2114" w:rsidRDefault="00DF2114" w:rsidP="00036663">
            <w:r>
              <w:t>32</w:t>
            </w:r>
          </w:p>
        </w:tc>
        <w:tc>
          <w:tcPr>
            <w:tcW w:w="3236" w:type="dxa"/>
          </w:tcPr>
          <w:p w14:paraId="5DEE1F9F" w14:textId="77777777" w:rsidR="00DF2114" w:rsidRDefault="00DF2114" w:rsidP="00036663"/>
        </w:tc>
      </w:tr>
      <w:tr w:rsidR="00725479" w14:paraId="3970C011" w14:textId="69B5D1B1" w:rsidTr="00725479">
        <w:trPr>
          <w:cantSplit/>
        </w:trPr>
        <w:tc>
          <w:tcPr>
            <w:tcW w:w="563" w:type="dxa"/>
          </w:tcPr>
          <w:p w14:paraId="11F104DB" w14:textId="3A7243B0" w:rsidR="00DF2114" w:rsidRDefault="005549E7" w:rsidP="00036663">
            <w:r>
              <w:t>7</w:t>
            </w:r>
            <w:r w:rsidR="00DF2114">
              <w:t>.6</w:t>
            </w:r>
          </w:p>
        </w:tc>
        <w:tc>
          <w:tcPr>
            <w:tcW w:w="5352" w:type="dxa"/>
          </w:tcPr>
          <w:p w14:paraId="21C634A7" w14:textId="6F12B441" w:rsidR="00DF2114" w:rsidRDefault="00DF2114" w:rsidP="00036663">
            <w:r>
              <w:t>If, in determining the lease term, the agency assessed that it is reasonably certain to terminate the lease early and incur a penalty, include the penalty payment when calculating the liability.</w:t>
            </w:r>
          </w:p>
        </w:tc>
        <w:tc>
          <w:tcPr>
            <w:tcW w:w="1050" w:type="dxa"/>
          </w:tcPr>
          <w:p w14:paraId="4BDEB273" w14:textId="3A620330" w:rsidR="00DF2114" w:rsidRDefault="00DF2114" w:rsidP="00036663">
            <w:r>
              <w:t>27(e)</w:t>
            </w:r>
          </w:p>
        </w:tc>
        <w:tc>
          <w:tcPr>
            <w:tcW w:w="3236" w:type="dxa"/>
          </w:tcPr>
          <w:p w14:paraId="7F3A53A8" w14:textId="77777777" w:rsidR="00DF2114" w:rsidRDefault="00DF2114" w:rsidP="00036663"/>
        </w:tc>
      </w:tr>
      <w:tr w:rsidR="00725479" w14:paraId="76184AE6" w14:textId="4232FEE4" w:rsidTr="00725479">
        <w:trPr>
          <w:cantSplit/>
        </w:trPr>
        <w:tc>
          <w:tcPr>
            <w:tcW w:w="563" w:type="dxa"/>
            <w:shd w:val="clear" w:color="auto" w:fill="F2F2F2" w:themeFill="background1" w:themeFillShade="F2"/>
          </w:tcPr>
          <w:p w14:paraId="40DB79F5" w14:textId="11F90F8E" w:rsidR="00DF2114" w:rsidRPr="0000628A" w:rsidRDefault="005549E7" w:rsidP="00036663">
            <w:pPr>
              <w:rPr>
                <w:b/>
              </w:rPr>
            </w:pPr>
            <w:r>
              <w:rPr>
                <w:b/>
              </w:rPr>
              <w:t>8</w:t>
            </w:r>
          </w:p>
        </w:tc>
        <w:tc>
          <w:tcPr>
            <w:tcW w:w="5352" w:type="dxa"/>
            <w:shd w:val="clear" w:color="auto" w:fill="F2F2F2" w:themeFill="background1" w:themeFillShade="F2"/>
          </w:tcPr>
          <w:p w14:paraId="3585214C" w14:textId="6CCA06B6" w:rsidR="00DF2114" w:rsidRPr="00684C9B" w:rsidRDefault="00DF2114" w:rsidP="00036663">
            <w:pPr>
              <w:rPr>
                <w:b/>
              </w:rPr>
            </w:pPr>
            <w:r w:rsidRPr="0000628A">
              <w:rPr>
                <w:b/>
              </w:rPr>
              <w:t>Right-of-use asset measurement</w:t>
            </w:r>
          </w:p>
        </w:tc>
        <w:tc>
          <w:tcPr>
            <w:tcW w:w="1050" w:type="dxa"/>
            <w:shd w:val="clear" w:color="auto" w:fill="F2F2F2" w:themeFill="background1" w:themeFillShade="F2"/>
          </w:tcPr>
          <w:p w14:paraId="4F5B2146" w14:textId="77777777" w:rsidR="00DF2114" w:rsidRPr="0000628A" w:rsidRDefault="00DF2114" w:rsidP="00036663">
            <w:pPr>
              <w:rPr>
                <w:b/>
              </w:rPr>
            </w:pPr>
          </w:p>
        </w:tc>
        <w:tc>
          <w:tcPr>
            <w:tcW w:w="3236" w:type="dxa"/>
            <w:shd w:val="clear" w:color="auto" w:fill="F2F2F2" w:themeFill="background1" w:themeFillShade="F2"/>
          </w:tcPr>
          <w:p w14:paraId="39693FF4" w14:textId="77777777" w:rsidR="00DF2114" w:rsidRPr="0000628A" w:rsidRDefault="00DF2114" w:rsidP="00036663">
            <w:pPr>
              <w:rPr>
                <w:b/>
              </w:rPr>
            </w:pPr>
          </w:p>
        </w:tc>
      </w:tr>
      <w:tr w:rsidR="00725479" w14:paraId="62365C50" w14:textId="56F6C537" w:rsidTr="00725479">
        <w:trPr>
          <w:cantSplit/>
        </w:trPr>
        <w:tc>
          <w:tcPr>
            <w:tcW w:w="563" w:type="dxa"/>
          </w:tcPr>
          <w:p w14:paraId="4D71DE75" w14:textId="55C4F77C" w:rsidR="00DF2114" w:rsidRDefault="005549E7" w:rsidP="006077C8">
            <w:r>
              <w:t>8</w:t>
            </w:r>
            <w:r w:rsidR="00DF2114">
              <w:t>.1</w:t>
            </w:r>
          </w:p>
        </w:tc>
        <w:tc>
          <w:tcPr>
            <w:tcW w:w="5352" w:type="dxa"/>
          </w:tcPr>
          <w:p w14:paraId="2C349910" w14:textId="06E655AF" w:rsidR="00DF2114" w:rsidRDefault="00DF2114" w:rsidP="006077C8">
            <w:r>
              <w:t>Record lease payments made before the commencement date</w:t>
            </w:r>
          </w:p>
        </w:tc>
        <w:tc>
          <w:tcPr>
            <w:tcW w:w="1050" w:type="dxa"/>
          </w:tcPr>
          <w:p w14:paraId="78E0C6C5" w14:textId="7D05EC3B" w:rsidR="00DF2114" w:rsidRDefault="00DF2114" w:rsidP="00036663">
            <w:r>
              <w:t>24(b)</w:t>
            </w:r>
          </w:p>
        </w:tc>
        <w:tc>
          <w:tcPr>
            <w:tcW w:w="3236" w:type="dxa"/>
          </w:tcPr>
          <w:p w14:paraId="53F8B28F" w14:textId="77777777" w:rsidR="00DF2114" w:rsidRDefault="00DF2114" w:rsidP="00036663"/>
        </w:tc>
      </w:tr>
      <w:tr w:rsidR="00725479" w14:paraId="5D952683" w14:textId="67C3520F" w:rsidTr="00725479">
        <w:trPr>
          <w:cantSplit/>
        </w:trPr>
        <w:tc>
          <w:tcPr>
            <w:tcW w:w="563" w:type="dxa"/>
          </w:tcPr>
          <w:p w14:paraId="4FDD0032" w14:textId="486C43CB" w:rsidR="00DF2114" w:rsidRDefault="005549E7" w:rsidP="00036663">
            <w:r>
              <w:t>8</w:t>
            </w:r>
            <w:r w:rsidR="00DF2114">
              <w:t>.2</w:t>
            </w:r>
          </w:p>
        </w:tc>
        <w:tc>
          <w:tcPr>
            <w:tcW w:w="5352" w:type="dxa"/>
          </w:tcPr>
          <w:p w14:paraId="00663DD3" w14:textId="05600644" w:rsidR="00DF2114" w:rsidRDefault="00DF2114" w:rsidP="00036663">
            <w:r>
              <w:t>Record lease incentives received, e.g.</w:t>
            </w:r>
          </w:p>
          <w:p w14:paraId="2AD7F7D7" w14:textId="77777777" w:rsidR="00DF2114" w:rsidRDefault="00DF2114" w:rsidP="00A31504">
            <w:pPr>
              <w:pStyle w:val="ListParagraph"/>
              <w:numPr>
                <w:ilvl w:val="0"/>
                <w:numId w:val="33"/>
              </w:numPr>
            </w:pPr>
            <w:r>
              <w:t>Cash payment received from the lessor</w:t>
            </w:r>
          </w:p>
          <w:p w14:paraId="15B2D03B" w14:textId="77777777" w:rsidR="00DF2114" w:rsidRDefault="00DF2114" w:rsidP="00A31504">
            <w:pPr>
              <w:pStyle w:val="ListParagraph"/>
              <w:numPr>
                <w:ilvl w:val="0"/>
                <w:numId w:val="33"/>
              </w:numPr>
            </w:pPr>
            <w:r>
              <w:t>Reimbursement or assumption by the lessor of costs of the lessee, e.g. removal costs, switching costs, costs of customised enhancements to the leased asset</w:t>
            </w:r>
          </w:p>
          <w:p w14:paraId="55A36AD0" w14:textId="1C315AEE" w:rsidR="00DF2114" w:rsidRDefault="00DF2114" w:rsidP="00A31504">
            <w:r>
              <w:t>Note: Rent-free periods are taken into account when measuring the lease liability.</w:t>
            </w:r>
          </w:p>
        </w:tc>
        <w:tc>
          <w:tcPr>
            <w:tcW w:w="1050" w:type="dxa"/>
          </w:tcPr>
          <w:p w14:paraId="1C7A0FD7" w14:textId="77777777" w:rsidR="00DF2114" w:rsidRDefault="00DF2114" w:rsidP="00036663">
            <w:r>
              <w:t>24(b)</w:t>
            </w:r>
          </w:p>
          <w:p w14:paraId="45656309" w14:textId="12F59A0E" w:rsidR="00DF2114" w:rsidRDefault="00DF2114" w:rsidP="00036663">
            <w:r>
              <w:t>Appendix A</w:t>
            </w:r>
          </w:p>
        </w:tc>
        <w:tc>
          <w:tcPr>
            <w:tcW w:w="3236" w:type="dxa"/>
          </w:tcPr>
          <w:p w14:paraId="4B2FFE1D" w14:textId="77777777" w:rsidR="00DF2114" w:rsidRDefault="00DF2114" w:rsidP="00036663"/>
        </w:tc>
      </w:tr>
      <w:tr w:rsidR="00725479" w14:paraId="19C1E46B" w14:textId="2264A4A3" w:rsidTr="00725479">
        <w:trPr>
          <w:cantSplit/>
        </w:trPr>
        <w:tc>
          <w:tcPr>
            <w:tcW w:w="563" w:type="dxa"/>
          </w:tcPr>
          <w:p w14:paraId="3C199F91" w14:textId="196C8B49" w:rsidR="00DF2114" w:rsidRDefault="005549E7" w:rsidP="00036663">
            <w:r>
              <w:t>8</w:t>
            </w:r>
            <w:r w:rsidR="00DF2114">
              <w:t>.3</w:t>
            </w:r>
          </w:p>
        </w:tc>
        <w:tc>
          <w:tcPr>
            <w:tcW w:w="5352" w:type="dxa"/>
          </w:tcPr>
          <w:p w14:paraId="6F9B2923" w14:textId="281155E9" w:rsidR="00DF2114" w:rsidRDefault="00DF2114" w:rsidP="00036663">
            <w:r>
              <w:t>Identify initial direct costs incurred by the agency</w:t>
            </w:r>
          </w:p>
          <w:p w14:paraId="3DF34C0D" w14:textId="68D8026F" w:rsidR="00DF2114" w:rsidRDefault="00DF2114" w:rsidP="00B968D4">
            <w:r w:rsidRPr="00B968D4">
              <w:rPr>
                <w:u w:val="single"/>
              </w:rPr>
              <w:t>Note for transition only</w:t>
            </w:r>
            <w:r>
              <w:t>: It is not necessary to identify initial direct costs for leases entered into prior to 1 July 2019.</w:t>
            </w:r>
          </w:p>
        </w:tc>
        <w:tc>
          <w:tcPr>
            <w:tcW w:w="1050" w:type="dxa"/>
          </w:tcPr>
          <w:p w14:paraId="7F6C806A" w14:textId="77777777" w:rsidR="00DF2114" w:rsidRDefault="00DF2114" w:rsidP="00036663">
            <w:r>
              <w:t>24(c)</w:t>
            </w:r>
          </w:p>
          <w:p w14:paraId="39B96E1B" w14:textId="6B86EB09" w:rsidR="00DF2114" w:rsidRDefault="00DF2114" w:rsidP="00036663">
            <w:r>
              <w:t>C10(d)</w:t>
            </w:r>
          </w:p>
        </w:tc>
        <w:tc>
          <w:tcPr>
            <w:tcW w:w="3236" w:type="dxa"/>
          </w:tcPr>
          <w:p w14:paraId="0A0CD25E" w14:textId="77777777" w:rsidR="00DF2114" w:rsidRDefault="00DF2114" w:rsidP="00036663"/>
        </w:tc>
      </w:tr>
      <w:tr w:rsidR="00725479" w14:paraId="063AD966" w14:textId="49861B5A" w:rsidTr="00725479">
        <w:trPr>
          <w:cantSplit/>
        </w:trPr>
        <w:tc>
          <w:tcPr>
            <w:tcW w:w="563" w:type="dxa"/>
          </w:tcPr>
          <w:p w14:paraId="04B6D6C9" w14:textId="5FB4CB3F" w:rsidR="00DF2114" w:rsidRDefault="005549E7" w:rsidP="00503DC5">
            <w:r>
              <w:t>8</w:t>
            </w:r>
            <w:r w:rsidR="00DF2114">
              <w:t>.4</w:t>
            </w:r>
          </w:p>
        </w:tc>
        <w:tc>
          <w:tcPr>
            <w:tcW w:w="5352" w:type="dxa"/>
          </w:tcPr>
          <w:p w14:paraId="7E4AA46F" w14:textId="77777777" w:rsidR="00DF2114" w:rsidRDefault="00DF2114" w:rsidP="00503DC5">
            <w:r>
              <w:t>Estimate the costs of make-good activities required by the lease agreement, e.g. dismantling, removal or restoration to be performed at the end of the lease</w:t>
            </w:r>
          </w:p>
          <w:p w14:paraId="333BF56B" w14:textId="019080B4" w:rsidR="00DF2114" w:rsidRDefault="00A84C16" w:rsidP="00503DC5">
            <w:r>
              <w:t>Consider</w:t>
            </w:r>
            <w:r w:rsidR="00495504">
              <w:t xml:space="preserve"> when does the agency incur the obligation for these costs - e.g. at lease commencement or throughout the lease term.</w:t>
            </w:r>
          </w:p>
        </w:tc>
        <w:tc>
          <w:tcPr>
            <w:tcW w:w="1050" w:type="dxa"/>
          </w:tcPr>
          <w:p w14:paraId="2004CC57" w14:textId="77777777" w:rsidR="00DF2114" w:rsidRDefault="00DF2114" w:rsidP="00036663">
            <w:r>
              <w:t>24(d)</w:t>
            </w:r>
          </w:p>
          <w:p w14:paraId="1E42DD92" w14:textId="7F5DD4D2" w:rsidR="00495504" w:rsidRDefault="00495504" w:rsidP="00036663">
            <w:r>
              <w:t>25</w:t>
            </w:r>
          </w:p>
        </w:tc>
        <w:tc>
          <w:tcPr>
            <w:tcW w:w="3236" w:type="dxa"/>
          </w:tcPr>
          <w:p w14:paraId="38D43053" w14:textId="77777777" w:rsidR="00DF2114" w:rsidRDefault="00DF2114" w:rsidP="00036663"/>
        </w:tc>
      </w:tr>
      <w:tr w:rsidR="00725479" w14:paraId="6FACAD1A" w14:textId="667D1C79" w:rsidTr="00725479">
        <w:trPr>
          <w:cantSplit/>
        </w:trPr>
        <w:tc>
          <w:tcPr>
            <w:tcW w:w="563" w:type="dxa"/>
          </w:tcPr>
          <w:p w14:paraId="65434D1F" w14:textId="1C2B1E58" w:rsidR="00DF2114" w:rsidRDefault="005549E7" w:rsidP="006077C8">
            <w:r>
              <w:lastRenderedPageBreak/>
              <w:t>8</w:t>
            </w:r>
            <w:r w:rsidR="00DF2114">
              <w:t>.5</w:t>
            </w:r>
          </w:p>
        </w:tc>
        <w:tc>
          <w:tcPr>
            <w:tcW w:w="5352" w:type="dxa"/>
          </w:tcPr>
          <w:p w14:paraId="6A339333" w14:textId="5F2E8212" w:rsidR="00036663" w:rsidRDefault="00036663" w:rsidP="005B4AE3">
            <w:r>
              <w:t>For not-for-profit agencies, identify whether the lease is a “peppercorn / concessionary lease”, for which additional disclosures are required in para Aus59.1-2.</w:t>
            </w:r>
          </w:p>
          <w:p w14:paraId="00C97408" w14:textId="0144CE6D" w:rsidR="00DF2114" w:rsidRDefault="00036663" w:rsidP="005B4AE3">
            <w:r>
              <w:t xml:space="preserve">Per Treasury policy, peppercorn leases will be measured initially at cost </w:t>
            </w:r>
            <w:r w:rsidR="0084038C">
              <w:t>(para</w:t>
            </w:r>
            <w:r>
              <w:t xml:space="preserve"> 23-25), </w:t>
            </w:r>
            <w:r w:rsidR="000326C8">
              <w:t>similar to</w:t>
            </w:r>
            <w:r>
              <w:t xml:space="preserve"> other leases.</w:t>
            </w:r>
          </w:p>
        </w:tc>
        <w:tc>
          <w:tcPr>
            <w:tcW w:w="1050" w:type="dxa"/>
          </w:tcPr>
          <w:p w14:paraId="056E2880" w14:textId="77777777" w:rsidR="00DF2114" w:rsidRDefault="00DF2114" w:rsidP="00036663">
            <w:r>
              <w:t>Aus25.1</w:t>
            </w:r>
          </w:p>
          <w:p w14:paraId="0024D782" w14:textId="77777777" w:rsidR="00036663" w:rsidRDefault="00036663" w:rsidP="00036663">
            <w:r>
              <w:t>Aus59.1</w:t>
            </w:r>
          </w:p>
          <w:p w14:paraId="6247985A" w14:textId="044A7B0F" w:rsidR="00036663" w:rsidRDefault="00036663" w:rsidP="00036663">
            <w:r>
              <w:t>Aus59.2</w:t>
            </w:r>
          </w:p>
        </w:tc>
        <w:tc>
          <w:tcPr>
            <w:tcW w:w="3236" w:type="dxa"/>
          </w:tcPr>
          <w:p w14:paraId="68BA37AE" w14:textId="77777777" w:rsidR="00DF2114" w:rsidRDefault="00DF2114" w:rsidP="00036663"/>
        </w:tc>
      </w:tr>
      <w:tr w:rsidR="00725479" w14:paraId="43B7136C" w14:textId="693DCD92" w:rsidTr="00725479">
        <w:trPr>
          <w:cantSplit/>
        </w:trPr>
        <w:tc>
          <w:tcPr>
            <w:tcW w:w="563" w:type="dxa"/>
          </w:tcPr>
          <w:p w14:paraId="46846C87" w14:textId="4010580F" w:rsidR="00DF2114" w:rsidRDefault="005549E7" w:rsidP="006077C8">
            <w:r>
              <w:t>8</w:t>
            </w:r>
            <w:r w:rsidR="00DF2114">
              <w:t>.6</w:t>
            </w:r>
          </w:p>
        </w:tc>
        <w:tc>
          <w:tcPr>
            <w:tcW w:w="5352" w:type="dxa"/>
          </w:tcPr>
          <w:p w14:paraId="11E12ED3" w14:textId="6D0AA9BE" w:rsidR="00DF2114" w:rsidRDefault="00DF2114" w:rsidP="006077C8">
            <w:r>
              <w:t xml:space="preserve">For depreciation purposes, identify if ownership of the underlying asset transfers to the agency at the end of the </w:t>
            </w:r>
            <w:r w:rsidR="007F1962">
              <w:t>lease term. Also consider step 7.5 above regarding purchase options.</w:t>
            </w:r>
          </w:p>
          <w:p w14:paraId="6144426B" w14:textId="4F7AEE71" w:rsidR="00DF2114" w:rsidRDefault="00DF2114" w:rsidP="006077C8">
            <w:r>
              <w:t>If the right-of-use asset is to be depreciated over the useful life of the underlying asset, estimate the useful life of the underlying asset</w:t>
            </w:r>
          </w:p>
        </w:tc>
        <w:tc>
          <w:tcPr>
            <w:tcW w:w="1050" w:type="dxa"/>
          </w:tcPr>
          <w:p w14:paraId="12B4F8BD" w14:textId="0F4BEB7C" w:rsidR="00DF2114" w:rsidRDefault="00DF2114" w:rsidP="00036663">
            <w:r>
              <w:t>32</w:t>
            </w:r>
          </w:p>
        </w:tc>
        <w:tc>
          <w:tcPr>
            <w:tcW w:w="3236" w:type="dxa"/>
          </w:tcPr>
          <w:p w14:paraId="03043A7A" w14:textId="77777777" w:rsidR="00DF2114" w:rsidRDefault="00DF2114" w:rsidP="00036663"/>
        </w:tc>
      </w:tr>
    </w:tbl>
    <w:p w14:paraId="18A2ADFA" w14:textId="77777777" w:rsidR="006077C8" w:rsidRPr="00365994" w:rsidRDefault="006077C8" w:rsidP="006077C8"/>
    <w:p w14:paraId="397D128A" w14:textId="4F343B91" w:rsidR="00491F1C" w:rsidRDefault="00491F1C">
      <w:pPr>
        <w:spacing w:before="60" w:after="60"/>
      </w:pPr>
      <w:r>
        <w:br w:type="page"/>
      </w:r>
    </w:p>
    <w:tbl>
      <w:tblPr>
        <w:tblW w:w="10206" w:type="dxa"/>
        <w:tblCellMar>
          <w:top w:w="15" w:type="dxa"/>
          <w:bottom w:w="15" w:type="dxa"/>
        </w:tblCellMar>
        <w:tblLook w:val="04A0" w:firstRow="1" w:lastRow="0" w:firstColumn="1" w:lastColumn="0" w:noHBand="0" w:noVBand="1"/>
      </w:tblPr>
      <w:tblGrid>
        <w:gridCol w:w="3360"/>
        <w:gridCol w:w="6846"/>
      </w:tblGrid>
      <w:tr w:rsidR="00491F1C" w:rsidRPr="009C5B8A" w14:paraId="4E2C81D2" w14:textId="77777777" w:rsidTr="00491F1C">
        <w:trPr>
          <w:trHeight w:val="300"/>
        </w:trPr>
        <w:tc>
          <w:tcPr>
            <w:tcW w:w="3360" w:type="dxa"/>
            <w:tcBorders>
              <w:top w:val="nil"/>
              <w:left w:val="nil"/>
              <w:bottom w:val="nil"/>
              <w:right w:val="nil"/>
            </w:tcBorders>
            <w:noWrap/>
            <w:vAlign w:val="bottom"/>
            <w:hideMark/>
          </w:tcPr>
          <w:p w14:paraId="0A9FA4F2" w14:textId="77777777" w:rsidR="00491F1C" w:rsidRPr="009C5B8A" w:rsidRDefault="00491F1C" w:rsidP="00491F1C">
            <w:pPr>
              <w:spacing w:before="0" w:after="0"/>
              <w:rPr>
                <w:rFonts w:asciiTheme="minorHAnsi" w:eastAsia="Times New Roman" w:hAnsiTheme="minorHAnsi" w:cstheme="minorHAnsi"/>
                <w:b/>
                <w:bCs/>
                <w:color w:val="000000"/>
                <w:sz w:val="22"/>
                <w:szCs w:val="22"/>
                <w:lang w:eastAsia="en-AU"/>
              </w:rPr>
            </w:pPr>
            <w:r w:rsidRPr="009C5B8A">
              <w:rPr>
                <w:rFonts w:asciiTheme="minorHAnsi" w:eastAsia="Times New Roman" w:hAnsiTheme="minorHAnsi" w:cstheme="minorHAnsi"/>
                <w:b/>
                <w:bCs/>
                <w:color w:val="000000"/>
                <w:sz w:val="22"/>
                <w:szCs w:val="22"/>
                <w:lang w:eastAsia="en-AU"/>
              </w:rPr>
              <w:lastRenderedPageBreak/>
              <w:t>Lease - Data Collection</w:t>
            </w:r>
          </w:p>
        </w:tc>
        <w:tc>
          <w:tcPr>
            <w:tcW w:w="6846" w:type="dxa"/>
            <w:tcBorders>
              <w:top w:val="nil"/>
              <w:left w:val="nil"/>
              <w:bottom w:val="nil"/>
              <w:right w:val="nil"/>
            </w:tcBorders>
            <w:noWrap/>
            <w:vAlign w:val="bottom"/>
            <w:hideMark/>
          </w:tcPr>
          <w:p w14:paraId="29877F54" w14:textId="77777777" w:rsidR="00491F1C" w:rsidRPr="009C5B8A" w:rsidRDefault="00491F1C" w:rsidP="00491F1C">
            <w:pPr>
              <w:spacing w:before="0" w:after="0"/>
              <w:rPr>
                <w:rFonts w:asciiTheme="minorHAnsi" w:eastAsia="Times New Roman" w:hAnsiTheme="minorHAnsi" w:cstheme="minorHAnsi"/>
                <w:b/>
                <w:bCs/>
                <w:color w:val="000000"/>
                <w:sz w:val="22"/>
                <w:szCs w:val="22"/>
                <w:lang w:eastAsia="en-AU"/>
              </w:rPr>
            </w:pPr>
          </w:p>
        </w:tc>
      </w:tr>
      <w:tr w:rsidR="00491F1C" w:rsidRPr="009C5B8A" w14:paraId="646AE4EE" w14:textId="77777777" w:rsidTr="00491F1C">
        <w:trPr>
          <w:trHeight w:val="600"/>
        </w:trPr>
        <w:tc>
          <w:tcPr>
            <w:tcW w:w="3360" w:type="dxa"/>
            <w:tcBorders>
              <w:top w:val="nil"/>
              <w:left w:val="nil"/>
              <w:bottom w:val="nil"/>
              <w:right w:val="nil"/>
            </w:tcBorders>
            <w:hideMark/>
          </w:tcPr>
          <w:p w14:paraId="1C7D39FF" w14:textId="3F788270"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Data items required to calculate amounts required for AASB 16.</w:t>
            </w:r>
          </w:p>
        </w:tc>
        <w:tc>
          <w:tcPr>
            <w:tcW w:w="6846" w:type="dxa"/>
            <w:tcBorders>
              <w:top w:val="nil"/>
              <w:left w:val="nil"/>
              <w:bottom w:val="nil"/>
              <w:right w:val="nil"/>
            </w:tcBorders>
            <w:noWrap/>
            <w:vAlign w:val="bottom"/>
            <w:hideMark/>
          </w:tcPr>
          <w:p w14:paraId="0B26A3E9"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1736B7FE" w14:textId="77777777" w:rsidTr="00491F1C">
        <w:trPr>
          <w:trHeight w:val="300"/>
        </w:trPr>
        <w:tc>
          <w:tcPr>
            <w:tcW w:w="3360" w:type="dxa"/>
            <w:tcBorders>
              <w:top w:val="nil"/>
              <w:left w:val="nil"/>
              <w:bottom w:val="nil"/>
              <w:right w:val="nil"/>
            </w:tcBorders>
            <w:hideMark/>
          </w:tcPr>
          <w:p w14:paraId="73DD5CA5" w14:textId="77777777" w:rsidR="00491F1C" w:rsidRPr="009C5B8A" w:rsidRDefault="00491F1C" w:rsidP="00491F1C">
            <w:pPr>
              <w:spacing w:before="0" w:after="0"/>
              <w:rPr>
                <w:rFonts w:asciiTheme="minorHAnsi" w:eastAsia="Times New Roman" w:hAnsiTheme="minorHAnsi" w:cstheme="minorHAnsi"/>
                <w:szCs w:val="20"/>
                <w:lang w:eastAsia="en-AU"/>
              </w:rPr>
            </w:pPr>
          </w:p>
        </w:tc>
        <w:tc>
          <w:tcPr>
            <w:tcW w:w="6846" w:type="dxa"/>
            <w:tcBorders>
              <w:top w:val="nil"/>
              <w:left w:val="nil"/>
              <w:bottom w:val="nil"/>
              <w:right w:val="nil"/>
            </w:tcBorders>
            <w:noWrap/>
            <w:vAlign w:val="bottom"/>
            <w:hideMark/>
          </w:tcPr>
          <w:p w14:paraId="0E380C26" w14:textId="77777777" w:rsidR="00491F1C" w:rsidRPr="009C5B8A" w:rsidRDefault="00491F1C" w:rsidP="00491F1C">
            <w:pPr>
              <w:spacing w:before="0" w:after="0"/>
              <w:rPr>
                <w:rFonts w:asciiTheme="minorHAnsi" w:eastAsia="Times New Roman" w:hAnsiTheme="minorHAnsi" w:cstheme="minorHAnsi"/>
                <w:szCs w:val="20"/>
                <w:lang w:eastAsia="en-AU"/>
              </w:rPr>
            </w:pPr>
          </w:p>
        </w:tc>
      </w:tr>
      <w:tr w:rsidR="00491F1C" w:rsidRPr="009C5B8A" w14:paraId="26A068DD"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293D48DE"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Asset Name</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2F212BF7"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19915547"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72E3C0B9"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Asset Location</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26655C44"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7AD70A5C"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77813D96"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Asset Code</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3424978F"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40DE9772"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26B55B37"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Asset Class</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1679271F"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459EDB9E"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3664B952"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Lessor</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51264E83"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4C19DE66"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7A5C290B"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Links to agreements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(including any amendments)</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3C9F735F"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5EF74132" w14:textId="77777777" w:rsidTr="00491F1C">
        <w:trPr>
          <w:trHeight w:val="300"/>
        </w:trPr>
        <w:tc>
          <w:tcPr>
            <w:tcW w:w="3360" w:type="dxa"/>
            <w:tcBorders>
              <w:top w:val="nil"/>
              <w:left w:val="nil"/>
              <w:bottom w:val="nil"/>
              <w:right w:val="nil"/>
            </w:tcBorders>
            <w:hideMark/>
          </w:tcPr>
          <w:p w14:paraId="1775D58F" w14:textId="77777777" w:rsidR="00491F1C" w:rsidRPr="009C5B8A" w:rsidRDefault="00491F1C" w:rsidP="00491F1C">
            <w:pPr>
              <w:spacing w:before="0" w:after="0"/>
              <w:rPr>
                <w:rFonts w:asciiTheme="minorHAnsi" w:eastAsia="Times New Roman" w:hAnsiTheme="minorHAnsi" w:cstheme="minorHAnsi"/>
                <w:szCs w:val="20"/>
                <w:lang w:eastAsia="en-AU"/>
              </w:rPr>
            </w:pPr>
          </w:p>
        </w:tc>
        <w:tc>
          <w:tcPr>
            <w:tcW w:w="6846" w:type="dxa"/>
            <w:tcBorders>
              <w:top w:val="nil"/>
              <w:left w:val="nil"/>
              <w:bottom w:val="nil"/>
              <w:right w:val="nil"/>
            </w:tcBorders>
            <w:noWrap/>
            <w:vAlign w:val="bottom"/>
            <w:hideMark/>
          </w:tcPr>
          <w:p w14:paraId="1E8E9502" w14:textId="77777777" w:rsidR="00491F1C" w:rsidRPr="009C5B8A" w:rsidRDefault="00491F1C" w:rsidP="00491F1C">
            <w:pPr>
              <w:spacing w:before="0" w:after="0"/>
              <w:rPr>
                <w:rFonts w:asciiTheme="minorHAnsi" w:eastAsia="Times New Roman" w:hAnsiTheme="minorHAnsi" w:cstheme="minorHAnsi"/>
                <w:szCs w:val="20"/>
                <w:lang w:eastAsia="en-AU"/>
              </w:rPr>
            </w:pPr>
          </w:p>
        </w:tc>
      </w:tr>
      <w:tr w:rsidR="00491F1C" w:rsidRPr="009C5B8A" w14:paraId="11174833"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4E8D0257"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Commencement Date</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129FA205"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38900847"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453990B6"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Expiry Date</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4C717B32"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005A7A12"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089A60D7"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Initial Term</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2581D1CD"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537A585B"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2A09BACA"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Lessee Extension Options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(details of options, dates and amounts)</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524F9E57"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723A132D"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179C725A"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Lessee Termination Options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(details of options, dates and amounts)</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67DBB19F"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5BD1F2DB"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38FE8D33"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Lessor Termination Options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(details of options, dates and amounts)</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187BAE14"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18F382B0" w14:textId="77777777" w:rsidTr="00491F1C">
        <w:trPr>
          <w:trHeight w:val="300"/>
        </w:trPr>
        <w:tc>
          <w:tcPr>
            <w:tcW w:w="3360" w:type="dxa"/>
            <w:tcBorders>
              <w:top w:val="nil"/>
              <w:left w:val="nil"/>
              <w:bottom w:val="nil"/>
              <w:right w:val="nil"/>
            </w:tcBorders>
            <w:hideMark/>
          </w:tcPr>
          <w:p w14:paraId="205EA13D" w14:textId="77777777" w:rsidR="00491F1C" w:rsidRPr="009C5B8A" w:rsidRDefault="00491F1C" w:rsidP="00491F1C">
            <w:pPr>
              <w:spacing w:before="0" w:after="0"/>
              <w:rPr>
                <w:rFonts w:asciiTheme="minorHAnsi" w:eastAsia="Times New Roman" w:hAnsiTheme="minorHAnsi" w:cstheme="minorHAnsi"/>
                <w:szCs w:val="20"/>
                <w:lang w:eastAsia="en-AU"/>
              </w:rPr>
            </w:pPr>
          </w:p>
        </w:tc>
        <w:tc>
          <w:tcPr>
            <w:tcW w:w="6846" w:type="dxa"/>
            <w:tcBorders>
              <w:top w:val="nil"/>
              <w:left w:val="nil"/>
              <w:bottom w:val="nil"/>
              <w:right w:val="nil"/>
            </w:tcBorders>
            <w:noWrap/>
            <w:vAlign w:val="bottom"/>
            <w:hideMark/>
          </w:tcPr>
          <w:p w14:paraId="695C674A" w14:textId="77777777" w:rsidR="00491F1C" w:rsidRPr="009C5B8A" w:rsidRDefault="00491F1C" w:rsidP="00491F1C">
            <w:pPr>
              <w:spacing w:before="0" w:after="0"/>
              <w:rPr>
                <w:rFonts w:asciiTheme="minorHAnsi" w:eastAsia="Times New Roman" w:hAnsiTheme="minorHAnsi" w:cstheme="minorHAnsi"/>
                <w:szCs w:val="20"/>
                <w:lang w:eastAsia="en-AU"/>
              </w:rPr>
            </w:pPr>
          </w:p>
        </w:tc>
      </w:tr>
      <w:tr w:rsidR="00491F1C" w:rsidRPr="009C5B8A" w14:paraId="6B1477A6"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50E956A1"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Discount rate</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22AD3D46"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6B637D7F" w14:textId="77777777" w:rsidTr="00491F1C">
        <w:trPr>
          <w:trHeight w:val="300"/>
        </w:trPr>
        <w:tc>
          <w:tcPr>
            <w:tcW w:w="3360" w:type="dxa"/>
            <w:tcBorders>
              <w:top w:val="single" w:sz="4" w:space="0" w:color="auto"/>
              <w:left w:val="single" w:sz="4" w:space="0" w:color="auto"/>
              <w:bottom w:val="single" w:sz="4" w:space="0" w:color="auto"/>
              <w:right w:val="single" w:sz="4" w:space="0" w:color="auto"/>
            </w:tcBorders>
            <w:hideMark/>
          </w:tcPr>
          <w:p w14:paraId="0B3F179D"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Initial Rent</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0E79A2B4"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25360477"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62D2747C"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Lease incentives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w:t>
            </w:r>
            <w:proofErr w:type="spellStart"/>
            <w:r w:rsidRPr="009C5B8A">
              <w:rPr>
                <w:rFonts w:asciiTheme="minorHAnsi" w:eastAsia="Times New Roman" w:hAnsiTheme="minorHAnsi" w:cstheme="minorHAnsi"/>
                <w:color w:val="000000"/>
                <w:sz w:val="16"/>
                <w:szCs w:val="16"/>
                <w:lang w:eastAsia="en-AU"/>
              </w:rPr>
              <w:t>eg</w:t>
            </w:r>
            <w:proofErr w:type="spellEnd"/>
            <w:r w:rsidRPr="009C5B8A">
              <w:rPr>
                <w:rFonts w:asciiTheme="minorHAnsi" w:eastAsia="Times New Roman" w:hAnsiTheme="minorHAnsi" w:cstheme="minorHAnsi"/>
                <w:color w:val="000000"/>
                <w:sz w:val="16"/>
                <w:szCs w:val="16"/>
                <w:lang w:eastAsia="en-AU"/>
              </w:rPr>
              <w:t xml:space="preserve"> Rent free or reduced rent period)</w:t>
            </w:r>
          </w:p>
        </w:tc>
        <w:tc>
          <w:tcPr>
            <w:tcW w:w="6846" w:type="dxa"/>
            <w:tcBorders>
              <w:top w:val="single" w:sz="4" w:space="0" w:color="auto"/>
              <w:left w:val="single" w:sz="4" w:space="0" w:color="auto"/>
              <w:bottom w:val="single" w:sz="4" w:space="0" w:color="auto"/>
              <w:right w:val="single" w:sz="4" w:space="0" w:color="auto"/>
            </w:tcBorders>
            <w:vAlign w:val="bottom"/>
            <w:hideMark/>
          </w:tcPr>
          <w:p w14:paraId="3ECBA2EC"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6CF497FC"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2455FCB5"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Fixed rent increase description</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(timeframes, amounts/fixed %)</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11CC7D6E"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5E91D4A5"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7E779322"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Variable lease payments (indexes)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(timeframes and method such as CPI)</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4C547178"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1E90BA76"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1B97A5CB"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Variable lease payments (other)</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(such as percentage of production)</w:t>
            </w:r>
          </w:p>
        </w:tc>
        <w:tc>
          <w:tcPr>
            <w:tcW w:w="6846" w:type="dxa"/>
            <w:tcBorders>
              <w:top w:val="single" w:sz="4" w:space="0" w:color="auto"/>
              <w:left w:val="single" w:sz="4" w:space="0" w:color="auto"/>
              <w:bottom w:val="single" w:sz="4" w:space="0" w:color="auto"/>
              <w:right w:val="single" w:sz="4" w:space="0" w:color="auto"/>
            </w:tcBorders>
            <w:vAlign w:val="bottom"/>
            <w:hideMark/>
          </w:tcPr>
          <w:p w14:paraId="23C02D25"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10CD38AB"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314E086D"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Non-lease components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(for assets other than Plant and Equipment)</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19A602FC"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78D5D565"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2C03B7A9"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Existing changes to lease payments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(changes that have already occurred)</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25A9A96F"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52172175" w14:textId="77777777" w:rsidTr="00491F1C">
        <w:trPr>
          <w:trHeight w:val="750"/>
        </w:trPr>
        <w:tc>
          <w:tcPr>
            <w:tcW w:w="3360" w:type="dxa"/>
            <w:tcBorders>
              <w:top w:val="single" w:sz="4" w:space="0" w:color="auto"/>
              <w:left w:val="single" w:sz="4" w:space="0" w:color="auto"/>
              <w:bottom w:val="single" w:sz="4" w:space="0" w:color="auto"/>
              <w:right w:val="single" w:sz="4" w:space="0" w:color="auto"/>
            </w:tcBorders>
            <w:hideMark/>
          </w:tcPr>
          <w:p w14:paraId="3E688E3C"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Termination payments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(purchase options, make-good and residual value guarantee)</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4C256817"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3D612478"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5C6B5CF2"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Payments already made</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(to value right of use asset)</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1DD988C8"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5FCF7C77"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52C0D1D4"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Initial direct costs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(to value right of use asset)</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4A3EA1BC"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r w:rsidR="00491F1C" w:rsidRPr="009C5B8A" w14:paraId="67FF413C" w14:textId="77777777" w:rsidTr="00491F1C">
        <w:trPr>
          <w:trHeight w:val="300"/>
        </w:trPr>
        <w:tc>
          <w:tcPr>
            <w:tcW w:w="3360" w:type="dxa"/>
            <w:tcBorders>
              <w:top w:val="nil"/>
              <w:left w:val="nil"/>
              <w:bottom w:val="nil"/>
              <w:right w:val="nil"/>
            </w:tcBorders>
            <w:hideMark/>
          </w:tcPr>
          <w:p w14:paraId="35E6D2E6" w14:textId="77777777" w:rsidR="00491F1C" w:rsidRPr="009C5B8A" w:rsidRDefault="00491F1C" w:rsidP="00491F1C">
            <w:pPr>
              <w:spacing w:before="0" w:after="0"/>
              <w:rPr>
                <w:rFonts w:asciiTheme="minorHAnsi" w:eastAsia="Times New Roman" w:hAnsiTheme="minorHAnsi" w:cstheme="minorHAnsi"/>
                <w:szCs w:val="20"/>
                <w:lang w:eastAsia="en-AU"/>
              </w:rPr>
            </w:pPr>
          </w:p>
        </w:tc>
        <w:tc>
          <w:tcPr>
            <w:tcW w:w="6846" w:type="dxa"/>
            <w:tcBorders>
              <w:top w:val="nil"/>
              <w:left w:val="nil"/>
              <w:bottom w:val="nil"/>
              <w:right w:val="nil"/>
            </w:tcBorders>
            <w:noWrap/>
            <w:vAlign w:val="bottom"/>
            <w:hideMark/>
          </w:tcPr>
          <w:p w14:paraId="73358A15" w14:textId="77777777" w:rsidR="00491F1C" w:rsidRPr="009C5B8A" w:rsidRDefault="00491F1C" w:rsidP="00491F1C">
            <w:pPr>
              <w:spacing w:before="0" w:after="0"/>
              <w:rPr>
                <w:rFonts w:asciiTheme="minorHAnsi" w:eastAsia="Times New Roman" w:hAnsiTheme="minorHAnsi" w:cstheme="minorHAnsi"/>
                <w:szCs w:val="20"/>
                <w:lang w:eastAsia="en-AU"/>
              </w:rPr>
            </w:pPr>
          </w:p>
        </w:tc>
      </w:tr>
      <w:tr w:rsidR="00491F1C" w:rsidRPr="009C5B8A" w14:paraId="4AE1E2CF" w14:textId="77777777" w:rsidTr="00491F1C">
        <w:trPr>
          <w:trHeight w:val="525"/>
        </w:trPr>
        <w:tc>
          <w:tcPr>
            <w:tcW w:w="3360" w:type="dxa"/>
            <w:tcBorders>
              <w:top w:val="single" w:sz="4" w:space="0" w:color="auto"/>
              <w:left w:val="single" w:sz="4" w:space="0" w:color="auto"/>
              <w:bottom w:val="single" w:sz="4" w:space="0" w:color="auto"/>
              <w:right w:val="single" w:sz="4" w:space="0" w:color="auto"/>
            </w:tcBorders>
            <w:hideMark/>
          </w:tcPr>
          <w:p w14:paraId="46769382"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r w:rsidRPr="009C5B8A">
              <w:rPr>
                <w:rFonts w:asciiTheme="minorHAnsi" w:eastAsia="Times New Roman" w:hAnsiTheme="minorHAnsi" w:cstheme="minorHAnsi"/>
                <w:color w:val="000000"/>
                <w:sz w:val="22"/>
                <w:szCs w:val="22"/>
                <w:lang w:eastAsia="en-AU"/>
              </w:rPr>
              <w:t>Other related leases</w:t>
            </w:r>
            <w:r w:rsidRPr="009C5B8A">
              <w:rPr>
                <w:rFonts w:asciiTheme="minorHAnsi" w:eastAsia="Times New Roman" w:hAnsiTheme="minorHAnsi" w:cstheme="minorHAnsi"/>
                <w:color w:val="000000"/>
                <w:sz w:val="22"/>
                <w:szCs w:val="22"/>
                <w:lang w:eastAsia="en-AU"/>
              </w:rPr>
              <w:br/>
            </w:r>
            <w:r w:rsidRPr="009C5B8A">
              <w:rPr>
                <w:rFonts w:asciiTheme="minorHAnsi" w:eastAsia="Times New Roman" w:hAnsiTheme="minorHAnsi" w:cstheme="minorHAnsi"/>
                <w:color w:val="000000"/>
                <w:sz w:val="16"/>
                <w:szCs w:val="16"/>
                <w:lang w:eastAsia="en-AU"/>
              </w:rPr>
              <w:t>(consideration as to whether to combine)</w:t>
            </w:r>
          </w:p>
        </w:tc>
        <w:tc>
          <w:tcPr>
            <w:tcW w:w="6846" w:type="dxa"/>
            <w:tcBorders>
              <w:top w:val="single" w:sz="4" w:space="0" w:color="auto"/>
              <w:left w:val="single" w:sz="4" w:space="0" w:color="auto"/>
              <w:bottom w:val="single" w:sz="4" w:space="0" w:color="auto"/>
              <w:right w:val="single" w:sz="4" w:space="0" w:color="auto"/>
            </w:tcBorders>
            <w:noWrap/>
            <w:vAlign w:val="bottom"/>
            <w:hideMark/>
          </w:tcPr>
          <w:p w14:paraId="4E05AD9B" w14:textId="77777777" w:rsidR="00491F1C" w:rsidRPr="009C5B8A" w:rsidRDefault="00491F1C" w:rsidP="00491F1C">
            <w:pPr>
              <w:spacing w:before="0" w:after="0"/>
              <w:rPr>
                <w:rFonts w:asciiTheme="minorHAnsi" w:eastAsia="Times New Roman" w:hAnsiTheme="minorHAnsi" w:cstheme="minorHAnsi"/>
                <w:color w:val="000000"/>
                <w:sz w:val="22"/>
                <w:szCs w:val="22"/>
                <w:lang w:eastAsia="en-AU"/>
              </w:rPr>
            </w:pPr>
          </w:p>
        </w:tc>
      </w:tr>
    </w:tbl>
    <w:p w14:paraId="21DDFD5F" w14:textId="77777777" w:rsidR="006077C8" w:rsidRPr="009C5B8A" w:rsidRDefault="006077C8" w:rsidP="00365994">
      <w:pPr>
        <w:rPr>
          <w:rFonts w:asciiTheme="minorHAnsi" w:hAnsiTheme="minorHAnsi" w:cstheme="minorHAnsi"/>
        </w:rPr>
      </w:pPr>
    </w:p>
    <w:sectPr w:rsidR="006077C8" w:rsidRPr="009C5B8A" w:rsidSect="0036599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851" w:left="851" w:header="567"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3092A" w14:textId="77777777" w:rsidR="008F2B14" w:rsidRDefault="008F2B14" w:rsidP="00421CC3">
      <w:r>
        <w:separator/>
      </w:r>
    </w:p>
    <w:p w14:paraId="6323466E" w14:textId="77777777" w:rsidR="008F2B14" w:rsidRDefault="008F2B14"/>
  </w:endnote>
  <w:endnote w:type="continuationSeparator" w:id="0">
    <w:p w14:paraId="6CB16B8B" w14:textId="77777777" w:rsidR="008F2B14" w:rsidRDefault="008F2B14" w:rsidP="00421CC3">
      <w:r>
        <w:continuationSeparator/>
      </w:r>
    </w:p>
    <w:p w14:paraId="6D77B592" w14:textId="77777777" w:rsidR="008F2B14" w:rsidRDefault="008F2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3DE7" w14:textId="77777777" w:rsidR="006A1DCC" w:rsidRDefault="006A1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A831" w14:textId="44C41BC1" w:rsidR="00036663" w:rsidRDefault="00036663" w:rsidP="00BF16AC">
    <w:pPr>
      <w:pStyle w:val="Footer"/>
      <w:jc w:val="right"/>
    </w:pPr>
    <w:r>
      <w:t>AASB 16 Leases Contract Review Checklist and Data Collection Worksheet</w:t>
    </w:r>
    <w:r>
      <w:tab/>
    </w:r>
    <w:r>
      <w:tab/>
    </w:r>
    <w:r>
      <w:tab/>
    </w:r>
    <w:sdt>
      <w:sdtPr>
        <w:id w:val="139740104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684C9B">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4C9B">
              <w:rPr>
                <w:b/>
                <w:bCs/>
                <w:noProof/>
              </w:rPr>
              <w:t>9</w:t>
            </w:r>
            <w:r>
              <w:rPr>
                <w:b/>
                <w:bCs/>
                <w:sz w:val="24"/>
                <w:szCs w:val="24"/>
              </w:rPr>
              <w:fldChar w:fldCharType="end"/>
            </w:r>
          </w:sdtContent>
        </w:sdt>
      </w:sdtContent>
    </w:sdt>
  </w:p>
  <w:p w14:paraId="49B35EC0" w14:textId="66B18824" w:rsidR="00036663" w:rsidRDefault="00036663" w:rsidP="00BF16AC">
    <w:pPr>
      <w:pStyle w:val="Footer"/>
      <w:tabs>
        <w:tab w:val="left" w:pos="24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3C6D" w14:textId="77777777" w:rsidR="006A1DCC" w:rsidRDefault="006A1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7A0C4" w14:textId="77777777" w:rsidR="008F2B14" w:rsidRDefault="008F2B14" w:rsidP="00FD2073">
      <w:pPr>
        <w:spacing w:after="20"/>
        <w:ind w:right="284"/>
      </w:pPr>
      <w:r>
        <w:separator/>
      </w:r>
    </w:p>
  </w:footnote>
  <w:footnote w:type="continuationSeparator" w:id="0">
    <w:p w14:paraId="37E2F522" w14:textId="77777777" w:rsidR="008F2B14" w:rsidRDefault="008F2B14" w:rsidP="00FD2073">
      <w:pPr>
        <w:spacing w:after="20"/>
      </w:pPr>
      <w:r>
        <w:continuationSeparator/>
      </w:r>
    </w:p>
  </w:footnote>
  <w:footnote w:type="continuationNotice" w:id="1">
    <w:p w14:paraId="525C95B8" w14:textId="77777777" w:rsidR="008F2B14" w:rsidRDefault="008F2B1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CB0A" w14:textId="534EF17A" w:rsidR="00036663" w:rsidRDefault="008F2B14">
    <w:pPr>
      <w:pStyle w:val="Header"/>
    </w:pPr>
    <w:r>
      <w:rPr>
        <w:noProof/>
      </w:rPr>
      <w:pict w14:anchorId="2912D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56.75pt;height:62.55pt;rotation:315;z-index:-251658752;mso-position-horizontal:center;mso-position-horizontal-relative:margin;mso-position-vertical:center;mso-position-vertical-relative:margin" o:allowincell="f" fillcolor="silver" stroked="f">
          <v:textpath style="font-family:&quot;Arial&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1AEA" w14:textId="77777777" w:rsidR="006A1DCC" w:rsidRDefault="006A1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3D38" w14:textId="77777777" w:rsidR="006A1DCC" w:rsidRDefault="006A1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B97666"/>
    <w:multiLevelType w:val="hybridMultilevel"/>
    <w:tmpl w:val="E7D80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E3457F"/>
    <w:multiLevelType w:val="hybridMultilevel"/>
    <w:tmpl w:val="BC884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3E620A"/>
    <w:multiLevelType w:val="hybridMultilevel"/>
    <w:tmpl w:val="A482B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14218A"/>
    <w:multiLevelType w:val="hybridMultilevel"/>
    <w:tmpl w:val="B7304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3946D8"/>
    <w:multiLevelType w:val="hybridMultilevel"/>
    <w:tmpl w:val="46048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0C3A26"/>
    <w:multiLevelType w:val="hybridMultilevel"/>
    <w:tmpl w:val="177E8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2D6BDD"/>
    <w:multiLevelType w:val="hybridMultilevel"/>
    <w:tmpl w:val="B62A1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8567FF"/>
    <w:multiLevelType w:val="hybridMultilevel"/>
    <w:tmpl w:val="EDA8E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DB2C3F"/>
    <w:multiLevelType w:val="hybridMultilevel"/>
    <w:tmpl w:val="3D9E4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01482"/>
    <w:multiLevelType w:val="hybridMultilevel"/>
    <w:tmpl w:val="E23A7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5E4910"/>
    <w:multiLevelType w:val="hybridMultilevel"/>
    <w:tmpl w:val="6FD25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B81D86"/>
    <w:multiLevelType w:val="hybridMultilevel"/>
    <w:tmpl w:val="92AAFC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4A67D7"/>
    <w:multiLevelType w:val="hybridMultilevel"/>
    <w:tmpl w:val="F864A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6E3D17"/>
    <w:multiLevelType w:val="hybridMultilevel"/>
    <w:tmpl w:val="D496F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D1074F"/>
    <w:multiLevelType w:val="multilevel"/>
    <w:tmpl w:val="741001E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15:restartNumberingAfterBreak="0">
    <w:nsid w:val="67127463"/>
    <w:multiLevelType w:val="hybridMultilevel"/>
    <w:tmpl w:val="76FAB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2E5473"/>
    <w:multiLevelType w:val="hybridMultilevel"/>
    <w:tmpl w:val="5A2CC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5D5A83"/>
    <w:multiLevelType w:val="hybridMultilevel"/>
    <w:tmpl w:val="408CC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162319"/>
    <w:multiLevelType w:val="hybridMultilevel"/>
    <w:tmpl w:val="5CC8E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514E93"/>
    <w:multiLevelType w:val="hybridMultilevel"/>
    <w:tmpl w:val="51E67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49F3616"/>
    <w:multiLevelType w:val="hybridMultilevel"/>
    <w:tmpl w:val="4830B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F454F9"/>
    <w:multiLevelType w:val="hybridMultilevel"/>
    <w:tmpl w:val="4524E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26427B"/>
    <w:multiLevelType w:val="hybridMultilevel"/>
    <w:tmpl w:val="69BA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24548E"/>
    <w:multiLevelType w:val="hybridMultilevel"/>
    <w:tmpl w:val="41A82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74765A"/>
    <w:multiLevelType w:val="hybridMultilevel"/>
    <w:tmpl w:val="5694F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0"/>
  </w:num>
  <w:num w:numId="4">
    <w:abstractNumId w:val="24"/>
  </w:num>
  <w:num w:numId="5">
    <w:abstractNumId w:val="15"/>
  </w:num>
  <w:num w:numId="6">
    <w:abstractNumId w:val="8"/>
  </w:num>
  <w:num w:numId="7">
    <w:abstractNumId w:val="30"/>
  </w:num>
  <w:num w:numId="8">
    <w:abstractNumId w:val="23"/>
  </w:num>
  <w:num w:numId="9">
    <w:abstractNumId w:val="25"/>
  </w:num>
  <w:num w:numId="10">
    <w:abstractNumId w:val="12"/>
  </w:num>
  <w:num w:numId="11">
    <w:abstractNumId w:val="18"/>
  </w:num>
  <w:num w:numId="12">
    <w:abstractNumId w:val="19"/>
  </w:num>
  <w:num w:numId="13">
    <w:abstractNumId w:val="25"/>
  </w:num>
  <w:num w:numId="14">
    <w:abstractNumId w:val="25"/>
  </w:num>
  <w:num w:numId="15">
    <w:abstractNumId w:val="25"/>
  </w:num>
  <w:num w:numId="16">
    <w:abstractNumId w:val="25"/>
    <w:lvlOverride w:ilvl="0">
      <w:startOverride w:val="1"/>
    </w:lvlOverride>
  </w:num>
  <w:num w:numId="17">
    <w:abstractNumId w:val="25"/>
    <w:lvlOverride w:ilvl="0">
      <w:startOverride w:val="1"/>
    </w:lvlOverride>
  </w:num>
  <w:num w:numId="18">
    <w:abstractNumId w:val="0"/>
  </w:num>
  <w:num w:numId="19">
    <w:abstractNumId w:val="25"/>
    <w:lvlOverride w:ilvl="0">
      <w:startOverride w:val="1"/>
    </w:lvlOverride>
  </w:num>
  <w:num w:numId="20">
    <w:abstractNumId w:val="8"/>
    <w:lvlOverride w:ilvl="0">
      <w:startOverride w:val="1"/>
    </w:lvlOverride>
  </w:num>
  <w:num w:numId="21">
    <w:abstractNumId w:val="19"/>
    <w:lvlOverride w:ilvl="0">
      <w:startOverride w:val="1"/>
    </w:lvlOverride>
  </w:num>
  <w:num w:numId="22">
    <w:abstractNumId w:val="25"/>
    <w:lvlOverride w:ilvl="0">
      <w:startOverride w:val="1"/>
    </w:lvlOverride>
  </w:num>
  <w:num w:numId="23">
    <w:abstractNumId w:val="9"/>
  </w:num>
  <w:num w:numId="24">
    <w:abstractNumId w:val="5"/>
  </w:num>
  <w:num w:numId="25">
    <w:abstractNumId w:val="6"/>
  </w:num>
  <w:num w:numId="26">
    <w:abstractNumId w:val="7"/>
  </w:num>
  <w:num w:numId="27">
    <w:abstractNumId w:val="32"/>
  </w:num>
  <w:num w:numId="28">
    <w:abstractNumId w:val="36"/>
  </w:num>
  <w:num w:numId="29">
    <w:abstractNumId w:val="34"/>
  </w:num>
  <w:num w:numId="30">
    <w:abstractNumId w:val="14"/>
  </w:num>
  <w:num w:numId="31">
    <w:abstractNumId w:val="20"/>
  </w:num>
  <w:num w:numId="32">
    <w:abstractNumId w:val="21"/>
  </w:num>
  <w:num w:numId="33">
    <w:abstractNumId w:val="28"/>
  </w:num>
  <w:num w:numId="34">
    <w:abstractNumId w:val="13"/>
  </w:num>
  <w:num w:numId="35">
    <w:abstractNumId w:val="31"/>
  </w:num>
  <w:num w:numId="36">
    <w:abstractNumId w:val="17"/>
  </w:num>
  <w:num w:numId="37">
    <w:abstractNumId w:val="4"/>
  </w:num>
  <w:num w:numId="38">
    <w:abstractNumId w:val="26"/>
  </w:num>
  <w:num w:numId="39">
    <w:abstractNumId w:val="27"/>
  </w:num>
  <w:num w:numId="40">
    <w:abstractNumId w:val="3"/>
  </w:num>
  <w:num w:numId="41">
    <w:abstractNumId w:val="29"/>
  </w:num>
  <w:num w:numId="42">
    <w:abstractNumId w:val="11"/>
  </w:num>
  <w:num w:numId="43">
    <w:abstractNumId w:val="35"/>
  </w:num>
  <w:num w:numId="44">
    <w:abstractNumId w:val="33"/>
  </w:num>
  <w:num w:numId="45">
    <w:abstractNumId w:val="22"/>
  </w:num>
  <w:num w:numId="4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108"/>
    <w:rsid w:val="000000D7"/>
    <w:rsid w:val="0000401D"/>
    <w:rsid w:val="00004AB8"/>
    <w:rsid w:val="0000628A"/>
    <w:rsid w:val="000070FB"/>
    <w:rsid w:val="00007613"/>
    <w:rsid w:val="00013B66"/>
    <w:rsid w:val="0001415C"/>
    <w:rsid w:val="00017CD1"/>
    <w:rsid w:val="00017F81"/>
    <w:rsid w:val="000200B5"/>
    <w:rsid w:val="00020258"/>
    <w:rsid w:val="00020DB7"/>
    <w:rsid w:val="00021CAA"/>
    <w:rsid w:val="00022408"/>
    <w:rsid w:val="000240E3"/>
    <w:rsid w:val="000243C6"/>
    <w:rsid w:val="00025D17"/>
    <w:rsid w:val="00027982"/>
    <w:rsid w:val="00031EDB"/>
    <w:rsid w:val="000326C8"/>
    <w:rsid w:val="00032E17"/>
    <w:rsid w:val="000363AB"/>
    <w:rsid w:val="00036663"/>
    <w:rsid w:val="00043D04"/>
    <w:rsid w:val="00044EA3"/>
    <w:rsid w:val="00045DC2"/>
    <w:rsid w:val="00046970"/>
    <w:rsid w:val="00051C81"/>
    <w:rsid w:val="0005714D"/>
    <w:rsid w:val="0006290B"/>
    <w:rsid w:val="00067D69"/>
    <w:rsid w:val="00070065"/>
    <w:rsid w:val="00070F7A"/>
    <w:rsid w:val="0007264E"/>
    <w:rsid w:val="00072B87"/>
    <w:rsid w:val="00072E7E"/>
    <w:rsid w:val="00073D6B"/>
    <w:rsid w:val="0008038E"/>
    <w:rsid w:val="00080C9D"/>
    <w:rsid w:val="0008161F"/>
    <w:rsid w:val="000860EE"/>
    <w:rsid w:val="00090409"/>
    <w:rsid w:val="00091C35"/>
    <w:rsid w:val="0009275F"/>
    <w:rsid w:val="000A072B"/>
    <w:rsid w:val="000A3611"/>
    <w:rsid w:val="000A38CF"/>
    <w:rsid w:val="000A4BD2"/>
    <w:rsid w:val="000A6751"/>
    <w:rsid w:val="000A7B16"/>
    <w:rsid w:val="000B14A6"/>
    <w:rsid w:val="000C2FD1"/>
    <w:rsid w:val="000C3108"/>
    <w:rsid w:val="000C3789"/>
    <w:rsid w:val="000D0C33"/>
    <w:rsid w:val="000D1008"/>
    <w:rsid w:val="000D18A2"/>
    <w:rsid w:val="000D3BBD"/>
    <w:rsid w:val="000D48DE"/>
    <w:rsid w:val="000D4A28"/>
    <w:rsid w:val="000D56AF"/>
    <w:rsid w:val="000E2924"/>
    <w:rsid w:val="000E3E98"/>
    <w:rsid w:val="000E4108"/>
    <w:rsid w:val="000F0553"/>
    <w:rsid w:val="000F30BB"/>
    <w:rsid w:val="000F4581"/>
    <w:rsid w:val="0010379B"/>
    <w:rsid w:val="00103A1A"/>
    <w:rsid w:val="00104D90"/>
    <w:rsid w:val="00106523"/>
    <w:rsid w:val="0011488B"/>
    <w:rsid w:val="00115043"/>
    <w:rsid w:val="00116623"/>
    <w:rsid w:val="00121195"/>
    <w:rsid w:val="0012130D"/>
    <w:rsid w:val="001239BE"/>
    <w:rsid w:val="00124034"/>
    <w:rsid w:val="00125866"/>
    <w:rsid w:val="00127474"/>
    <w:rsid w:val="001348BB"/>
    <w:rsid w:val="00135CD6"/>
    <w:rsid w:val="001367F2"/>
    <w:rsid w:val="0013727C"/>
    <w:rsid w:val="00137F7B"/>
    <w:rsid w:val="00140CC1"/>
    <w:rsid w:val="00147F76"/>
    <w:rsid w:val="0015399A"/>
    <w:rsid w:val="00153BB5"/>
    <w:rsid w:val="00154295"/>
    <w:rsid w:val="001548E7"/>
    <w:rsid w:val="00157FAD"/>
    <w:rsid w:val="001650E4"/>
    <w:rsid w:val="00167564"/>
    <w:rsid w:val="0017030D"/>
    <w:rsid w:val="00172D32"/>
    <w:rsid w:val="00173EC4"/>
    <w:rsid w:val="00177CB5"/>
    <w:rsid w:val="00181590"/>
    <w:rsid w:val="0018217D"/>
    <w:rsid w:val="0018617B"/>
    <w:rsid w:val="0019000F"/>
    <w:rsid w:val="00190A94"/>
    <w:rsid w:val="00192E72"/>
    <w:rsid w:val="00194427"/>
    <w:rsid w:val="00195B5B"/>
    <w:rsid w:val="001A3336"/>
    <w:rsid w:val="001A46BA"/>
    <w:rsid w:val="001A4D16"/>
    <w:rsid w:val="001B197E"/>
    <w:rsid w:val="001B3480"/>
    <w:rsid w:val="001B506F"/>
    <w:rsid w:val="001B6C5A"/>
    <w:rsid w:val="001B7B5F"/>
    <w:rsid w:val="001C3106"/>
    <w:rsid w:val="001C57ED"/>
    <w:rsid w:val="001C640E"/>
    <w:rsid w:val="001C644C"/>
    <w:rsid w:val="001C74E5"/>
    <w:rsid w:val="001C7F2E"/>
    <w:rsid w:val="001D03FE"/>
    <w:rsid w:val="001D1AA6"/>
    <w:rsid w:val="001D4009"/>
    <w:rsid w:val="001D47EB"/>
    <w:rsid w:val="001D6E0F"/>
    <w:rsid w:val="001D76EE"/>
    <w:rsid w:val="001E296F"/>
    <w:rsid w:val="001E302B"/>
    <w:rsid w:val="001E5E82"/>
    <w:rsid w:val="001E6087"/>
    <w:rsid w:val="001E7600"/>
    <w:rsid w:val="001F14E6"/>
    <w:rsid w:val="001F43A6"/>
    <w:rsid w:val="001F491A"/>
    <w:rsid w:val="001F514F"/>
    <w:rsid w:val="001F5177"/>
    <w:rsid w:val="001F7972"/>
    <w:rsid w:val="00202605"/>
    <w:rsid w:val="00204AEE"/>
    <w:rsid w:val="00206B95"/>
    <w:rsid w:val="00210BB3"/>
    <w:rsid w:val="00211B44"/>
    <w:rsid w:val="0021242D"/>
    <w:rsid w:val="00213773"/>
    <w:rsid w:val="002137C7"/>
    <w:rsid w:val="00216458"/>
    <w:rsid w:val="002213C2"/>
    <w:rsid w:val="002221E3"/>
    <w:rsid w:val="002252D5"/>
    <w:rsid w:val="00225D66"/>
    <w:rsid w:val="002306A2"/>
    <w:rsid w:val="00230EC6"/>
    <w:rsid w:val="00231767"/>
    <w:rsid w:val="00231839"/>
    <w:rsid w:val="002345BE"/>
    <w:rsid w:val="002348E8"/>
    <w:rsid w:val="0023567A"/>
    <w:rsid w:val="00237346"/>
    <w:rsid w:val="002427F1"/>
    <w:rsid w:val="00244142"/>
    <w:rsid w:val="00247774"/>
    <w:rsid w:val="00251981"/>
    <w:rsid w:val="002542B3"/>
    <w:rsid w:val="00261888"/>
    <w:rsid w:val="00262700"/>
    <w:rsid w:val="00264663"/>
    <w:rsid w:val="002655E0"/>
    <w:rsid w:val="00265B76"/>
    <w:rsid w:val="00266E4C"/>
    <w:rsid w:val="00271F38"/>
    <w:rsid w:val="002729A3"/>
    <w:rsid w:val="00274CB3"/>
    <w:rsid w:val="0028098B"/>
    <w:rsid w:val="00281E77"/>
    <w:rsid w:val="002840EB"/>
    <w:rsid w:val="00284FEB"/>
    <w:rsid w:val="00292D4C"/>
    <w:rsid w:val="00293DB7"/>
    <w:rsid w:val="0029442F"/>
    <w:rsid w:val="00295DC2"/>
    <w:rsid w:val="00296BBC"/>
    <w:rsid w:val="002A341E"/>
    <w:rsid w:val="002A3BDC"/>
    <w:rsid w:val="002A4790"/>
    <w:rsid w:val="002A62AF"/>
    <w:rsid w:val="002A64C0"/>
    <w:rsid w:val="002B2173"/>
    <w:rsid w:val="002B3055"/>
    <w:rsid w:val="002B7CF6"/>
    <w:rsid w:val="002D15D1"/>
    <w:rsid w:val="002D162A"/>
    <w:rsid w:val="002D5BE0"/>
    <w:rsid w:val="002D6342"/>
    <w:rsid w:val="002D75D3"/>
    <w:rsid w:val="002E12AA"/>
    <w:rsid w:val="002E4726"/>
    <w:rsid w:val="002E756D"/>
    <w:rsid w:val="002F444D"/>
    <w:rsid w:val="002F48FC"/>
    <w:rsid w:val="002F63A1"/>
    <w:rsid w:val="00301830"/>
    <w:rsid w:val="003022D0"/>
    <w:rsid w:val="003023C7"/>
    <w:rsid w:val="003027FF"/>
    <w:rsid w:val="00302968"/>
    <w:rsid w:val="00304E4C"/>
    <w:rsid w:val="00304FE0"/>
    <w:rsid w:val="00311199"/>
    <w:rsid w:val="00313E90"/>
    <w:rsid w:val="00314446"/>
    <w:rsid w:val="0031478A"/>
    <w:rsid w:val="003179AF"/>
    <w:rsid w:val="003204AB"/>
    <w:rsid w:val="003236CD"/>
    <w:rsid w:val="0033396A"/>
    <w:rsid w:val="00336528"/>
    <w:rsid w:val="00337112"/>
    <w:rsid w:val="003415D9"/>
    <w:rsid w:val="00341EFF"/>
    <w:rsid w:val="003421DE"/>
    <w:rsid w:val="00342BD3"/>
    <w:rsid w:val="00344F6C"/>
    <w:rsid w:val="003467A6"/>
    <w:rsid w:val="00346C6E"/>
    <w:rsid w:val="003504C1"/>
    <w:rsid w:val="00350F0B"/>
    <w:rsid w:val="00351DDB"/>
    <w:rsid w:val="003551D7"/>
    <w:rsid w:val="0035629D"/>
    <w:rsid w:val="00357BE3"/>
    <w:rsid w:val="00365994"/>
    <w:rsid w:val="00367294"/>
    <w:rsid w:val="00367C89"/>
    <w:rsid w:val="00370213"/>
    <w:rsid w:val="00375D70"/>
    <w:rsid w:val="00382A5A"/>
    <w:rsid w:val="00383F41"/>
    <w:rsid w:val="003844A9"/>
    <w:rsid w:val="00384C2D"/>
    <w:rsid w:val="0038564F"/>
    <w:rsid w:val="0038667B"/>
    <w:rsid w:val="00387D85"/>
    <w:rsid w:val="00390CCE"/>
    <w:rsid w:val="00392279"/>
    <w:rsid w:val="00395253"/>
    <w:rsid w:val="00396623"/>
    <w:rsid w:val="00397C38"/>
    <w:rsid w:val="003A12AD"/>
    <w:rsid w:val="003A3676"/>
    <w:rsid w:val="003A5E88"/>
    <w:rsid w:val="003A7869"/>
    <w:rsid w:val="003B0D5F"/>
    <w:rsid w:val="003B183A"/>
    <w:rsid w:val="003B7A6A"/>
    <w:rsid w:val="003C103A"/>
    <w:rsid w:val="003C5BC2"/>
    <w:rsid w:val="003C5DB3"/>
    <w:rsid w:val="003D7E08"/>
    <w:rsid w:val="003E1CE1"/>
    <w:rsid w:val="003E3081"/>
    <w:rsid w:val="003E3599"/>
    <w:rsid w:val="003E7FFE"/>
    <w:rsid w:val="0040154D"/>
    <w:rsid w:val="00402874"/>
    <w:rsid w:val="00403002"/>
    <w:rsid w:val="004040EC"/>
    <w:rsid w:val="004043C2"/>
    <w:rsid w:val="00410C83"/>
    <w:rsid w:val="004131BB"/>
    <w:rsid w:val="00414062"/>
    <w:rsid w:val="00417F2B"/>
    <w:rsid w:val="00417F5D"/>
    <w:rsid w:val="00421CC3"/>
    <w:rsid w:val="00423348"/>
    <w:rsid w:val="00424936"/>
    <w:rsid w:val="004308AC"/>
    <w:rsid w:val="00431D03"/>
    <w:rsid w:val="00435923"/>
    <w:rsid w:val="004409FC"/>
    <w:rsid w:val="00441C47"/>
    <w:rsid w:val="00443AD2"/>
    <w:rsid w:val="004441F4"/>
    <w:rsid w:val="00445AE2"/>
    <w:rsid w:val="00445D91"/>
    <w:rsid w:val="0044641E"/>
    <w:rsid w:val="00454341"/>
    <w:rsid w:val="004561B1"/>
    <w:rsid w:val="0045760D"/>
    <w:rsid w:val="0046591D"/>
    <w:rsid w:val="00467D90"/>
    <w:rsid w:val="00471B8E"/>
    <w:rsid w:val="004730E1"/>
    <w:rsid w:val="00475428"/>
    <w:rsid w:val="00477CD5"/>
    <w:rsid w:val="004800E5"/>
    <w:rsid w:val="00483217"/>
    <w:rsid w:val="00483E12"/>
    <w:rsid w:val="00484274"/>
    <w:rsid w:val="00491F1C"/>
    <w:rsid w:val="00495504"/>
    <w:rsid w:val="00496D2B"/>
    <w:rsid w:val="004A06F6"/>
    <w:rsid w:val="004A21CF"/>
    <w:rsid w:val="004A224B"/>
    <w:rsid w:val="004B3166"/>
    <w:rsid w:val="004C0E02"/>
    <w:rsid w:val="004C11A3"/>
    <w:rsid w:val="004C2FF1"/>
    <w:rsid w:val="004D0B45"/>
    <w:rsid w:val="004D4B55"/>
    <w:rsid w:val="004D5E2E"/>
    <w:rsid w:val="004D62A4"/>
    <w:rsid w:val="004D7DC9"/>
    <w:rsid w:val="004E00D7"/>
    <w:rsid w:val="004E04BA"/>
    <w:rsid w:val="004E0BFD"/>
    <w:rsid w:val="004E48FD"/>
    <w:rsid w:val="004E6378"/>
    <w:rsid w:val="004E79CA"/>
    <w:rsid w:val="004F03CE"/>
    <w:rsid w:val="004F04AF"/>
    <w:rsid w:val="004F5DBE"/>
    <w:rsid w:val="004F77C5"/>
    <w:rsid w:val="004F7B60"/>
    <w:rsid w:val="00503B00"/>
    <w:rsid w:val="00503DC5"/>
    <w:rsid w:val="005059B5"/>
    <w:rsid w:val="00505A7D"/>
    <w:rsid w:val="00505C55"/>
    <w:rsid w:val="0051550D"/>
    <w:rsid w:val="005163D8"/>
    <w:rsid w:val="00516DB2"/>
    <w:rsid w:val="005170F9"/>
    <w:rsid w:val="00517D02"/>
    <w:rsid w:val="005216CB"/>
    <w:rsid w:val="00522A96"/>
    <w:rsid w:val="0052791E"/>
    <w:rsid w:val="0053006F"/>
    <w:rsid w:val="00533085"/>
    <w:rsid w:val="00535A62"/>
    <w:rsid w:val="005370BB"/>
    <w:rsid w:val="00540D3E"/>
    <w:rsid w:val="00543B1D"/>
    <w:rsid w:val="00545B06"/>
    <w:rsid w:val="00545C0D"/>
    <w:rsid w:val="0055077F"/>
    <w:rsid w:val="00552741"/>
    <w:rsid w:val="00553B9D"/>
    <w:rsid w:val="005549E7"/>
    <w:rsid w:val="00557AA3"/>
    <w:rsid w:val="00560815"/>
    <w:rsid w:val="00563FE5"/>
    <w:rsid w:val="0057483C"/>
    <w:rsid w:val="005751B4"/>
    <w:rsid w:val="005753CF"/>
    <w:rsid w:val="00575B71"/>
    <w:rsid w:val="0057785B"/>
    <w:rsid w:val="00580A2F"/>
    <w:rsid w:val="00583349"/>
    <w:rsid w:val="00585DCD"/>
    <w:rsid w:val="005864A7"/>
    <w:rsid w:val="00590FD1"/>
    <w:rsid w:val="005912B4"/>
    <w:rsid w:val="00592055"/>
    <w:rsid w:val="0059333F"/>
    <w:rsid w:val="00597CBF"/>
    <w:rsid w:val="005A083C"/>
    <w:rsid w:val="005A39C3"/>
    <w:rsid w:val="005A6B58"/>
    <w:rsid w:val="005A6C2F"/>
    <w:rsid w:val="005B3C41"/>
    <w:rsid w:val="005B3DF4"/>
    <w:rsid w:val="005B4AE3"/>
    <w:rsid w:val="005B5AEB"/>
    <w:rsid w:val="005B5FF2"/>
    <w:rsid w:val="005B705E"/>
    <w:rsid w:val="005B71A9"/>
    <w:rsid w:val="005C0460"/>
    <w:rsid w:val="005C4600"/>
    <w:rsid w:val="005C4985"/>
    <w:rsid w:val="005C54C2"/>
    <w:rsid w:val="005C5FD4"/>
    <w:rsid w:val="005C6D6D"/>
    <w:rsid w:val="005C713B"/>
    <w:rsid w:val="005D0C1C"/>
    <w:rsid w:val="005E0CE8"/>
    <w:rsid w:val="005E1316"/>
    <w:rsid w:val="005E1987"/>
    <w:rsid w:val="005E2BD9"/>
    <w:rsid w:val="005E2E37"/>
    <w:rsid w:val="005E2EC3"/>
    <w:rsid w:val="005E5562"/>
    <w:rsid w:val="005E7C09"/>
    <w:rsid w:val="005F1975"/>
    <w:rsid w:val="005F39C5"/>
    <w:rsid w:val="005F4E5F"/>
    <w:rsid w:val="005F6BAA"/>
    <w:rsid w:val="00602406"/>
    <w:rsid w:val="00603A50"/>
    <w:rsid w:val="006048BD"/>
    <w:rsid w:val="00604A09"/>
    <w:rsid w:val="00606CFA"/>
    <w:rsid w:val="006077C8"/>
    <w:rsid w:val="006102B1"/>
    <w:rsid w:val="0061037B"/>
    <w:rsid w:val="0061041A"/>
    <w:rsid w:val="00615CDE"/>
    <w:rsid w:val="00615FCA"/>
    <w:rsid w:val="00620024"/>
    <w:rsid w:val="00620FE1"/>
    <w:rsid w:val="00622F65"/>
    <w:rsid w:val="00623B26"/>
    <w:rsid w:val="006276E1"/>
    <w:rsid w:val="006278AD"/>
    <w:rsid w:val="00630648"/>
    <w:rsid w:val="00643469"/>
    <w:rsid w:val="0064691D"/>
    <w:rsid w:val="00646BF1"/>
    <w:rsid w:val="00647CBC"/>
    <w:rsid w:val="0065214B"/>
    <w:rsid w:val="00652640"/>
    <w:rsid w:val="00652F51"/>
    <w:rsid w:val="00653226"/>
    <w:rsid w:val="00654072"/>
    <w:rsid w:val="0065439A"/>
    <w:rsid w:val="00657A73"/>
    <w:rsid w:val="00661FC1"/>
    <w:rsid w:val="00662FF3"/>
    <w:rsid w:val="0066374F"/>
    <w:rsid w:val="00667342"/>
    <w:rsid w:val="0067253E"/>
    <w:rsid w:val="0068335F"/>
    <w:rsid w:val="00684C9B"/>
    <w:rsid w:val="006879AC"/>
    <w:rsid w:val="00690029"/>
    <w:rsid w:val="00697513"/>
    <w:rsid w:val="006A1DCC"/>
    <w:rsid w:val="006A637C"/>
    <w:rsid w:val="006A651D"/>
    <w:rsid w:val="006B06A8"/>
    <w:rsid w:val="006B0FD0"/>
    <w:rsid w:val="006B4DB7"/>
    <w:rsid w:val="006B57C8"/>
    <w:rsid w:val="006B589F"/>
    <w:rsid w:val="006C1E05"/>
    <w:rsid w:val="006D02D9"/>
    <w:rsid w:val="006D3097"/>
    <w:rsid w:val="006D40D8"/>
    <w:rsid w:val="006D622D"/>
    <w:rsid w:val="006D7D39"/>
    <w:rsid w:val="006E09D1"/>
    <w:rsid w:val="006E43DD"/>
    <w:rsid w:val="006E482D"/>
    <w:rsid w:val="006E6CB2"/>
    <w:rsid w:val="006E6F16"/>
    <w:rsid w:val="006F0A39"/>
    <w:rsid w:val="006F45D2"/>
    <w:rsid w:val="00700009"/>
    <w:rsid w:val="00701386"/>
    <w:rsid w:val="007123FA"/>
    <w:rsid w:val="00716960"/>
    <w:rsid w:val="007218E8"/>
    <w:rsid w:val="007245EF"/>
    <w:rsid w:val="00725479"/>
    <w:rsid w:val="00725490"/>
    <w:rsid w:val="00727284"/>
    <w:rsid w:val="007303F9"/>
    <w:rsid w:val="00736717"/>
    <w:rsid w:val="007404E4"/>
    <w:rsid w:val="00742D62"/>
    <w:rsid w:val="00747F9F"/>
    <w:rsid w:val="007537DF"/>
    <w:rsid w:val="007542D1"/>
    <w:rsid w:val="00755AC6"/>
    <w:rsid w:val="0075783A"/>
    <w:rsid w:val="00757F20"/>
    <w:rsid w:val="00763286"/>
    <w:rsid w:val="007639FC"/>
    <w:rsid w:val="0077279E"/>
    <w:rsid w:val="00773D5D"/>
    <w:rsid w:val="007750B4"/>
    <w:rsid w:val="00775B4B"/>
    <w:rsid w:val="00775DCF"/>
    <w:rsid w:val="0077696D"/>
    <w:rsid w:val="00777661"/>
    <w:rsid w:val="00777B9A"/>
    <w:rsid w:val="00780B3E"/>
    <w:rsid w:val="0078745C"/>
    <w:rsid w:val="00787854"/>
    <w:rsid w:val="00787FF2"/>
    <w:rsid w:val="00792900"/>
    <w:rsid w:val="00797C7E"/>
    <w:rsid w:val="007A6989"/>
    <w:rsid w:val="007B039E"/>
    <w:rsid w:val="007B0BCB"/>
    <w:rsid w:val="007B24FC"/>
    <w:rsid w:val="007C0C14"/>
    <w:rsid w:val="007C2943"/>
    <w:rsid w:val="007C295E"/>
    <w:rsid w:val="007C2DD1"/>
    <w:rsid w:val="007C34D9"/>
    <w:rsid w:val="007C4E05"/>
    <w:rsid w:val="007C5218"/>
    <w:rsid w:val="007C6EE0"/>
    <w:rsid w:val="007D2222"/>
    <w:rsid w:val="007D43BA"/>
    <w:rsid w:val="007D6681"/>
    <w:rsid w:val="007E295F"/>
    <w:rsid w:val="007E4CD8"/>
    <w:rsid w:val="007E5A42"/>
    <w:rsid w:val="007E6F3E"/>
    <w:rsid w:val="007F1962"/>
    <w:rsid w:val="007F2BE4"/>
    <w:rsid w:val="007F623F"/>
    <w:rsid w:val="007F7900"/>
    <w:rsid w:val="00800F2B"/>
    <w:rsid w:val="00801FE6"/>
    <w:rsid w:val="00806195"/>
    <w:rsid w:val="00806EFE"/>
    <w:rsid w:val="00807FFE"/>
    <w:rsid w:val="00810353"/>
    <w:rsid w:val="0081267E"/>
    <w:rsid w:val="008147CE"/>
    <w:rsid w:val="008272DD"/>
    <w:rsid w:val="00830995"/>
    <w:rsid w:val="00830A8A"/>
    <w:rsid w:val="00834BFC"/>
    <w:rsid w:val="00834C7C"/>
    <w:rsid w:val="00835552"/>
    <w:rsid w:val="0084038C"/>
    <w:rsid w:val="0084040F"/>
    <w:rsid w:val="00840997"/>
    <w:rsid w:val="00844EFA"/>
    <w:rsid w:val="00850F6D"/>
    <w:rsid w:val="008511FF"/>
    <w:rsid w:val="00851257"/>
    <w:rsid w:val="00853A0D"/>
    <w:rsid w:val="00854C3B"/>
    <w:rsid w:val="008551F8"/>
    <w:rsid w:val="00856C99"/>
    <w:rsid w:val="00857EC4"/>
    <w:rsid w:val="00867CE5"/>
    <w:rsid w:val="00867F11"/>
    <w:rsid w:val="00873174"/>
    <w:rsid w:val="0087561A"/>
    <w:rsid w:val="00876F24"/>
    <w:rsid w:val="008803D6"/>
    <w:rsid w:val="008839D6"/>
    <w:rsid w:val="008863E8"/>
    <w:rsid w:val="00886D7B"/>
    <w:rsid w:val="00886F5D"/>
    <w:rsid w:val="00890203"/>
    <w:rsid w:val="00892EF5"/>
    <w:rsid w:val="008939CC"/>
    <w:rsid w:val="00896C7A"/>
    <w:rsid w:val="00897966"/>
    <w:rsid w:val="008A15D3"/>
    <w:rsid w:val="008A3C1D"/>
    <w:rsid w:val="008A3FEA"/>
    <w:rsid w:val="008B172B"/>
    <w:rsid w:val="008B3017"/>
    <w:rsid w:val="008B470A"/>
    <w:rsid w:val="008B4C74"/>
    <w:rsid w:val="008B65F5"/>
    <w:rsid w:val="008C2748"/>
    <w:rsid w:val="008C3E3F"/>
    <w:rsid w:val="008C6376"/>
    <w:rsid w:val="008D4A31"/>
    <w:rsid w:val="008D5572"/>
    <w:rsid w:val="008D74E9"/>
    <w:rsid w:val="008D7965"/>
    <w:rsid w:val="008E637C"/>
    <w:rsid w:val="008F058B"/>
    <w:rsid w:val="008F2B14"/>
    <w:rsid w:val="008F3779"/>
    <w:rsid w:val="008F69EE"/>
    <w:rsid w:val="00900AF1"/>
    <w:rsid w:val="00901795"/>
    <w:rsid w:val="009025F3"/>
    <w:rsid w:val="009031F8"/>
    <w:rsid w:val="00907BDB"/>
    <w:rsid w:val="0091137D"/>
    <w:rsid w:val="0091689F"/>
    <w:rsid w:val="00920D75"/>
    <w:rsid w:val="009243EB"/>
    <w:rsid w:val="009310F4"/>
    <w:rsid w:val="00934BDA"/>
    <w:rsid w:val="00935B4E"/>
    <w:rsid w:val="009373DC"/>
    <w:rsid w:val="00942B4D"/>
    <w:rsid w:val="00944F2D"/>
    <w:rsid w:val="009464BB"/>
    <w:rsid w:val="00946635"/>
    <w:rsid w:val="00953AE1"/>
    <w:rsid w:val="00956F0B"/>
    <w:rsid w:val="0096496E"/>
    <w:rsid w:val="009704E2"/>
    <w:rsid w:val="00970F86"/>
    <w:rsid w:val="00971B47"/>
    <w:rsid w:val="00971DE7"/>
    <w:rsid w:val="00974055"/>
    <w:rsid w:val="00984378"/>
    <w:rsid w:val="00986062"/>
    <w:rsid w:val="00993262"/>
    <w:rsid w:val="00996A8F"/>
    <w:rsid w:val="00997CFF"/>
    <w:rsid w:val="009A30A9"/>
    <w:rsid w:val="009A5E32"/>
    <w:rsid w:val="009B05D4"/>
    <w:rsid w:val="009B226C"/>
    <w:rsid w:val="009B3DA6"/>
    <w:rsid w:val="009B54F8"/>
    <w:rsid w:val="009B6D99"/>
    <w:rsid w:val="009C0207"/>
    <w:rsid w:val="009C1FB5"/>
    <w:rsid w:val="009C4FAD"/>
    <w:rsid w:val="009C5074"/>
    <w:rsid w:val="009C5B8A"/>
    <w:rsid w:val="009C6217"/>
    <w:rsid w:val="009C6465"/>
    <w:rsid w:val="009D0B35"/>
    <w:rsid w:val="009D0D95"/>
    <w:rsid w:val="009D3F82"/>
    <w:rsid w:val="009D4427"/>
    <w:rsid w:val="009D5412"/>
    <w:rsid w:val="009E228D"/>
    <w:rsid w:val="009E37E6"/>
    <w:rsid w:val="009E62C5"/>
    <w:rsid w:val="009E6909"/>
    <w:rsid w:val="009F3C84"/>
    <w:rsid w:val="009F51F4"/>
    <w:rsid w:val="00A03163"/>
    <w:rsid w:val="00A05DED"/>
    <w:rsid w:val="00A06371"/>
    <w:rsid w:val="00A06CCE"/>
    <w:rsid w:val="00A072D2"/>
    <w:rsid w:val="00A10803"/>
    <w:rsid w:val="00A13C67"/>
    <w:rsid w:val="00A16663"/>
    <w:rsid w:val="00A21BA6"/>
    <w:rsid w:val="00A22400"/>
    <w:rsid w:val="00A22B4E"/>
    <w:rsid w:val="00A31504"/>
    <w:rsid w:val="00A3243E"/>
    <w:rsid w:val="00A3257C"/>
    <w:rsid w:val="00A34B93"/>
    <w:rsid w:val="00A34D90"/>
    <w:rsid w:val="00A419DB"/>
    <w:rsid w:val="00A4535B"/>
    <w:rsid w:val="00A52FAC"/>
    <w:rsid w:val="00A55578"/>
    <w:rsid w:val="00A56653"/>
    <w:rsid w:val="00A56B45"/>
    <w:rsid w:val="00A624AC"/>
    <w:rsid w:val="00A65874"/>
    <w:rsid w:val="00A6744C"/>
    <w:rsid w:val="00A67550"/>
    <w:rsid w:val="00A701B3"/>
    <w:rsid w:val="00A7145A"/>
    <w:rsid w:val="00A71CAD"/>
    <w:rsid w:val="00A72DA9"/>
    <w:rsid w:val="00A76085"/>
    <w:rsid w:val="00A81015"/>
    <w:rsid w:val="00A84C16"/>
    <w:rsid w:val="00A850A8"/>
    <w:rsid w:val="00A86622"/>
    <w:rsid w:val="00A86783"/>
    <w:rsid w:val="00A93441"/>
    <w:rsid w:val="00A952C6"/>
    <w:rsid w:val="00A9569E"/>
    <w:rsid w:val="00AA0B91"/>
    <w:rsid w:val="00AA1892"/>
    <w:rsid w:val="00AA1E11"/>
    <w:rsid w:val="00AA3F33"/>
    <w:rsid w:val="00AA623B"/>
    <w:rsid w:val="00AA7C6B"/>
    <w:rsid w:val="00AB255C"/>
    <w:rsid w:val="00AB3381"/>
    <w:rsid w:val="00AB675F"/>
    <w:rsid w:val="00AC3C4F"/>
    <w:rsid w:val="00AC58DC"/>
    <w:rsid w:val="00AC605F"/>
    <w:rsid w:val="00AD585F"/>
    <w:rsid w:val="00AE2AA5"/>
    <w:rsid w:val="00AE49E7"/>
    <w:rsid w:val="00AE4B27"/>
    <w:rsid w:val="00AE5A6D"/>
    <w:rsid w:val="00AE666F"/>
    <w:rsid w:val="00AF115B"/>
    <w:rsid w:val="00AF6558"/>
    <w:rsid w:val="00AF6DCD"/>
    <w:rsid w:val="00AF76FA"/>
    <w:rsid w:val="00B011C0"/>
    <w:rsid w:val="00B025AA"/>
    <w:rsid w:val="00B02D4F"/>
    <w:rsid w:val="00B05F86"/>
    <w:rsid w:val="00B13BC5"/>
    <w:rsid w:val="00B13DE5"/>
    <w:rsid w:val="00B141DC"/>
    <w:rsid w:val="00B150F2"/>
    <w:rsid w:val="00B20437"/>
    <w:rsid w:val="00B212DE"/>
    <w:rsid w:val="00B21F3F"/>
    <w:rsid w:val="00B249E0"/>
    <w:rsid w:val="00B272B2"/>
    <w:rsid w:val="00B3026D"/>
    <w:rsid w:val="00B313DD"/>
    <w:rsid w:val="00B324DF"/>
    <w:rsid w:val="00B32EAF"/>
    <w:rsid w:val="00B35B1D"/>
    <w:rsid w:val="00B37117"/>
    <w:rsid w:val="00B375CE"/>
    <w:rsid w:val="00B408F1"/>
    <w:rsid w:val="00B40BBF"/>
    <w:rsid w:val="00B410D8"/>
    <w:rsid w:val="00B43168"/>
    <w:rsid w:val="00B43CF8"/>
    <w:rsid w:val="00B45CC8"/>
    <w:rsid w:val="00B46688"/>
    <w:rsid w:val="00B4688B"/>
    <w:rsid w:val="00B46AF3"/>
    <w:rsid w:val="00B56C16"/>
    <w:rsid w:val="00B56FBE"/>
    <w:rsid w:val="00B57254"/>
    <w:rsid w:val="00B60358"/>
    <w:rsid w:val="00B63189"/>
    <w:rsid w:val="00B67F59"/>
    <w:rsid w:val="00B67F84"/>
    <w:rsid w:val="00B71DA8"/>
    <w:rsid w:val="00B73B6F"/>
    <w:rsid w:val="00B7449A"/>
    <w:rsid w:val="00B762DB"/>
    <w:rsid w:val="00B80E4D"/>
    <w:rsid w:val="00B80FFD"/>
    <w:rsid w:val="00B81B0A"/>
    <w:rsid w:val="00B81F50"/>
    <w:rsid w:val="00B86DA4"/>
    <w:rsid w:val="00B91A2F"/>
    <w:rsid w:val="00B92152"/>
    <w:rsid w:val="00B96640"/>
    <w:rsid w:val="00B96702"/>
    <w:rsid w:val="00B968D4"/>
    <w:rsid w:val="00BA02F4"/>
    <w:rsid w:val="00BA46A0"/>
    <w:rsid w:val="00BA5B0A"/>
    <w:rsid w:val="00BA7D09"/>
    <w:rsid w:val="00BA7F39"/>
    <w:rsid w:val="00BB1F78"/>
    <w:rsid w:val="00BB355A"/>
    <w:rsid w:val="00BB421A"/>
    <w:rsid w:val="00BB50F7"/>
    <w:rsid w:val="00BB51CD"/>
    <w:rsid w:val="00BB5714"/>
    <w:rsid w:val="00BB595D"/>
    <w:rsid w:val="00BB78B7"/>
    <w:rsid w:val="00BC2777"/>
    <w:rsid w:val="00BC3539"/>
    <w:rsid w:val="00BC37DD"/>
    <w:rsid w:val="00BC5217"/>
    <w:rsid w:val="00BC5A69"/>
    <w:rsid w:val="00BC5D7C"/>
    <w:rsid w:val="00BC706C"/>
    <w:rsid w:val="00BC7364"/>
    <w:rsid w:val="00BD01F6"/>
    <w:rsid w:val="00BD15F0"/>
    <w:rsid w:val="00BD4D6B"/>
    <w:rsid w:val="00BD5897"/>
    <w:rsid w:val="00BE12DE"/>
    <w:rsid w:val="00BE2188"/>
    <w:rsid w:val="00BE29C5"/>
    <w:rsid w:val="00BF07A3"/>
    <w:rsid w:val="00BF16AC"/>
    <w:rsid w:val="00BF5189"/>
    <w:rsid w:val="00BF5E73"/>
    <w:rsid w:val="00C02226"/>
    <w:rsid w:val="00C04D00"/>
    <w:rsid w:val="00C0666E"/>
    <w:rsid w:val="00C07826"/>
    <w:rsid w:val="00C11AD6"/>
    <w:rsid w:val="00C1259A"/>
    <w:rsid w:val="00C2050B"/>
    <w:rsid w:val="00C23A82"/>
    <w:rsid w:val="00C23E9A"/>
    <w:rsid w:val="00C24FAB"/>
    <w:rsid w:val="00C255B7"/>
    <w:rsid w:val="00C3244F"/>
    <w:rsid w:val="00C32B5B"/>
    <w:rsid w:val="00C34189"/>
    <w:rsid w:val="00C412D7"/>
    <w:rsid w:val="00C45B29"/>
    <w:rsid w:val="00C50364"/>
    <w:rsid w:val="00C5321F"/>
    <w:rsid w:val="00C54899"/>
    <w:rsid w:val="00C57F6E"/>
    <w:rsid w:val="00C6217D"/>
    <w:rsid w:val="00C63652"/>
    <w:rsid w:val="00C63678"/>
    <w:rsid w:val="00C6665E"/>
    <w:rsid w:val="00C70083"/>
    <w:rsid w:val="00C7203A"/>
    <w:rsid w:val="00C734CF"/>
    <w:rsid w:val="00C7669A"/>
    <w:rsid w:val="00C7781E"/>
    <w:rsid w:val="00C842F3"/>
    <w:rsid w:val="00C850F5"/>
    <w:rsid w:val="00C86378"/>
    <w:rsid w:val="00C868C6"/>
    <w:rsid w:val="00C87A63"/>
    <w:rsid w:val="00C90710"/>
    <w:rsid w:val="00C93DC3"/>
    <w:rsid w:val="00C97A1D"/>
    <w:rsid w:val="00CA132D"/>
    <w:rsid w:val="00CA1364"/>
    <w:rsid w:val="00CA196D"/>
    <w:rsid w:val="00CA2AD8"/>
    <w:rsid w:val="00CA36AC"/>
    <w:rsid w:val="00CA521D"/>
    <w:rsid w:val="00CB0B8A"/>
    <w:rsid w:val="00CB1101"/>
    <w:rsid w:val="00CB1F22"/>
    <w:rsid w:val="00CB303F"/>
    <w:rsid w:val="00CB4005"/>
    <w:rsid w:val="00CB62AC"/>
    <w:rsid w:val="00CB74BC"/>
    <w:rsid w:val="00CC29B7"/>
    <w:rsid w:val="00CC2AF0"/>
    <w:rsid w:val="00CC65EF"/>
    <w:rsid w:val="00CC6CF9"/>
    <w:rsid w:val="00CC6FAC"/>
    <w:rsid w:val="00CD576B"/>
    <w:rsid w:val="00CD60DD"/>
    <w:rsid w:val="00CD7E81"/>
    <w:rsid w:val="00CE01B5"/>
    <w:rsid w:val="00CE322F"/>
    <w:rsid w:val="00CE499F"/>
    <w:rsid w:val="00CE6B9E"/>
    <w:rsid w:val="00CF5094"/>
    <w:rsid w:val="00CF7D80"/>
    <w:rsid w:val="00D05D6E"/>
    <w:rsid w:val="00D0741F"/>
    <w:rsid w:val="00D11BD1"/>
    <w:rsid w:val="00D1358B"/>
    <w:rsid w:val="00D13F9D"/>
    <w:rsid w:val="00D15555"/>
    <w:rsid w:val="00D239C6"/>
    <w:rsid w:val="00D3197B"/>
    <w:rsid w:val="00D351DD"/>
    <w:rsid w:val="00D3548E"/>
    <w:rsid w:val="00D37506"/>
    <w:rsid w:val="00D37DCB"/>
    <w:rsid w:val="00D4152E"/>
    <w:rsid w:val="00D43477"/>
    <w:rsid w:val="00D51EEB"/>
    <w:rsid w:val="00D63777"/>
    <w:rsid w:val="00D63AE1"/>
    <w:rsid w:val="00D646EB"/>
    <w:rsid w:val="00D670A8"/>
    <w:rsid w:val="00D71DAA"/>
    <w:rsid w:val="00D73281"/>
    <w:rsid w:val="00D74FFE"/>
    <w:rsid w:val="00D762B1"/>
    <w:rsid w:val="00D765A0"/>
    <w:rsid w:val="00D76A32"/>
    <w:rsid w:val="00D82046"/>
    <w:rsid w:val="00D82803"/>
    <w:rsid w:val="00D84902"/>
    <w:rsid w:val="00D85BFD"/>
    <w:rsid w:val="00D865CD"/>
    <w:rsid w:val="00D8676D"/>
    <w:rsid w:val="00D87878"/>
    <w:rsid w:val="00D91453"/>
    <w:rsid w:val="00D9244F"/>
    <w:rsid w:val="00D92501"/>
    <w:rsid w:val="00D952B6"/>
    <w:rsid w:val="00D9719E"/>
    <w:rsid w:val="00DA1F54"/>
    <w:rsid w:val="00DA363F"/>
    <w:rsid w:val="00DA6A55"/>
    <w:rsid w:val="00DB10D3"/>
    <w:rsid w:val="00DB246E"/>
    <w:rsid w:val="00DB4DBE"/>
    <w:rsid w:val="00DB6031"/>
    <w:rsid w:val="00DB6D82"/>
    <w:rsid w:val="00DB746E"/>
    <w:rsid w:val="00DC0AF2"/>
    <w:rsid w:val="00DC156C"/>
    <w:rsid w:val="00DC2948"/>
    <w:rsid w:val="00DC5330"/>
    <w:rsid w:val="00DC674F"/>
    <w:rsid w:val="00DC7381"/>
    <w:rsid w:val="00DD42BB"/>
    <w:rsid w:val="00DD475D"/>
    <w:rsid w:val="00DD498E"/>
    <w:rsid w:val="00DD4AE1"/>
    <w:rsid w:val="00DD6F4D"/>
    <w:rsid w:val="00DE49EB"/>
    <w:rsid w:val="00DE5472"/>
    <w:rsid w:val="00DF066B"/>
    <w:rsid w:val="00DF1017"/>
    <w:rsid w:val="00DF2114"/>
    <w:rsid w:val="00DF4908"/>
    <w:rsid w:val="00E000B4"/>
    <w:rsid w:val="00E00DE2"/>
    <w:rsid w:val="00E02B6D"/>
    <w:rsid w:val="00E030EA"/>
    <w:rsid w:val="00E03A0F"/>
    <w:rsid w:val="00E1087F"/>
    <w:rsid w:val="00E1200D"/>
    <w:rsid w:val="00E14EE4"/>
    <w:rsid w:val="00E15041"/>
    <w:rsid w:val="00E16243"/>
    <w:rsid w:val="00E205F5"/>
    <w:rsid w:val="00E222D9"/>
    <w:rsid w:val="00E223E4"/>
    <w:rsid w:val="00E224F9"/>
    <w:rsid w:val="00E26263"/>
    <w:rsid w:val="00E26E41"/>
    <w:rsid w:val="00E2759F"/>
    <w:rsid w:val="00E2794A"/>
    <w:rsid w:val="00E27ADA"/>
    <w:rsid w:val="00E3147B"/>
    <w:rsid w:val="00E46734"/>
    <w:rsid w:val="00E4734A"/>
    <w:rsid w:val="00E56384"/>
    <w:rsid w:val="00E57B74"/>
    <w:rsid w:val="00E60B72"/>
    <w:rsid w:val="00E61D11"/>
    <w:rsid w:val="00E62AD4"/>
    <w:rsid w:val="00E63B9F"/>
    <w:rsid w:val="00E64611"/>
    <w:rsid w:val="00E72782"/>
    <w:rsid w:val="00E74690"/>
    <w:rsid w:val="00E74A3D"/>
    <w:rsid w:val="00E751FF"/>
    <w:rsid w:val="00E760F9"/>
    <w:rsid w:val="00E76905"/>
    <w:rsid w:val="00E816A7"/>
    <w:rsid w:val="00E81907"/>
    <w:rsid w:val="00E826B2"/>
    <w:rsid w:val="00E82E2B"/>
    <w:rsid w:val="00E83410"/>
    <w:rsid w:val="00E835A7"/>
    <w:rsid w:val="00E83E46"/>
    <w:rsid w:val="00E85528"/>
    <w:rsid w:val="00E87DCE"/>
    <w:rsid w:val="00E9190F"/>
    <w:rsid w:val="00E95060"/>
    <w:rsid w:val="00E950B5"/>
    <w:rsid w:val="00E972C1"/>
    <w:rsid w:val="00EA0EBF"/>
    <w:rsid w:val="00EA2C2D"/>
    <w:rsid w:val="00EA4176"/>
    <w:rsid w:val="00EA44B0"/>
    <w:rsid w:val="00EA59D3"/>
    <w:rsid w:val="00EB0318"/>
    <w:rsid w:val="00EB475A"/>
    <w:rsid w:val="00EB5CAC"/>
    <w:rsid w:val="00EB6F3D"/>
    <w:rsid w:val="00EC4E3C"/>
    <w:rsid w:val="00EC53F2"/>
    <w:rsid w:val="00EC67E0"/>
    <w:rsid w:val="00EC7763"/>
    <w:rsid w:val="00EC780A"/>
    <w:rsid w:val="00ED1E04"/>
    <w:rsid w:val="00ED456C"/>
    <w:rsid w:val="00ED5DE3"/>
    <w:rsid w:val="00EE304C"/>
    <w:rsid w:val="00EF0F22"/>
    <w:rsid w:val="00EF119F"/>
    <w:rsid w:val="00EF5A36"/>
    <w:rsid w:val="00F0019F"/>
    <w:rsid w:val="00F01428"/>
    <w:rsid w:val="00F015ED"/>
    <w:rsid w:val="00F0315D"/>
    <w:rsid w:val="00F033D9"/>
    <w:rsid w:val="00F04965"/>
    <w:rsid w:val="00F07397"/>
    <w:rsid w:val="00F11E41"/>
    <w:rsid w:val="00F1207F"/>
    <w:rsid w:val="00F13EAA"/>
    <w:rsid w:val="00F15138"/>
    <w:rsid w:val="00F16B2E"/>
    <w:rsid w:val="00F17308"/>
    <w:rsid w:val="00F20BA8"/>
    <w:rsid w:val="00F21501"/>
    <w:rsid w:val="00F23C2F"/>
    <w:rsid w:val="00F25BAE"/>
    <w:rsid w:val="00F332B2"/>
    <w:rsid w:val="00F34081"/>
    <w:rsid w:val="00F35223"/>
    <w:rsid w:val="00F35954"/>
    <w:rsid w:val="00F365B7"/>
    <w:rsid w:val="00F4207F"/>
    <w:rsid w:val="00F45415"/>
    <w:rsid w:val="00F46611"/>
    <w:rsid w:val="00F46A0D"/>
    <w:rsid w:val="00F47D3B"/>
    <w:rsid w:val="00F51AB3"/>
    <w:rsid w:val="00F52661"/>
    <w:rsid w:val="00F53C42"/>
    <w:rsid w:val="00F543EE"/>
    <w:rsid w:val="00F62C2B"/>
    <w:rsid w:val="00F639C0"/>
    <w:rsid w:val="00F66BD7"/>
    <w:rsid w:val="00F6723C"/>
    <w:rsid w:val="00F67892"/>
    <w:rsid w:val="00F7062B"/>
    <w:rsid w:val="00F72B4C"/>
    <w:rsid w:val="00F7797A"/>
    <w:rsid w:val="00F80718"/>
    <w:rsid w:val="00F82FC0"/>
    <w:rsid w:val="00F84299"/>
    <w:rsid w:val="00F84CA3"/>
    <w:rsid w:val="00F852B9"/>
    <w:rsid w:val="00F86728"/>
    <w:rsid w:val="00F86FD6"/>
    <w:rsid w:val="00F87F0B"/>
    <w:rsid w:val="00F929DF"/>
    <w:rsid w:val="00F93A39"/>
    <w:rsid w:val="00F94B30"/>
    <w:rsid w:val="00F95C09"/>
    <w:rsid w:val="00F97253"/>
    <w:rsid w:val="00F978B7"/>
    <w:rsid w:val="00FA00ED"/>
    <w:rsid w:val="00FA27A7"/>
    <w:rsid w:val="00FA36DB"/>
    <w:rsid w:val="00FA4497"/>
    <w:rsid w:val="00FA5E06"/>
    <w:rsid w:val="00FA64BC"/>
    <w:rsid w:val="00FB0E7E"/>
    <w:rsid w:val="00FB26D8"/>
    <w:rsid w:val="00FB2A77"/>
    <w:rsid w:val="00FB661F"/>
    <w:rsid w:val="00FC2094"/>
    <w:rsid w:val="00FC4985"/>
    <w:rsid w:val="00FC49E7"/>
    <w:rsid w:val="00FC6ED1"/>
    <w:rsid w:val="00FD068F"/>
    <w:rsid w:val="00FD2073"/>
    <w:rsid w:val="00FD2968"/>
    <w:rsid w:val="00FE09EE"/>
    <w:rsid w:val="00FE2C4C"/>
    <w:rsid w:val="00FE61ED"/>
    <w:rsid w:val="00FF7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A73F274"/>
  <w15:chartTrackingRefBased/>
  <w15:docId w15:val="{F2847585-0CDF-4C3B-9D45-A0F17527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5">
    <w:lsdException w:name="Normal" w:uiPriority="8"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
    <w:qFormat/>
    <w:rsid w:val="000A7B16"/>
    <w:pPr>
      <w:spacing w:before="120" w:after="120"/>
    </w:pPr>
    <w:rPr>
      <w:sz w:val="20"/>
    </w:rPr>
  </w:style>
  <w:style w:type="paragraph" w:styleId="Heading1">
    <w:name w:val="heading 1"/>
    <w:basedOn w:val="Normal"/>
    <w:next w:val="Normal"/>
    <w:link w:val="Heading1Char"/>
    <w:uiPriority w:val="5"/>
    <w:qFormat/>
    <w:rsid w:val="00022408"/>
    <w:pPr>
      <w:numPr>
        <w:numId w:val="8"/>
      </w:numPr>
      <w:tabs>
        <w:tab w:val="left" w:pos="1134"/>
      </w:tabs>
      <w:spacing w:before="480" w:after="240"/>
      <w:ind w:left="1134" w:hanging="1134"/>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3B183A"/>
    <w:pPr>
      <w:numPr>
        <w:ilvl w:val="1"/>
      </w:numPr>
      <w:spacing w:before="360"/>
      <w:ind w:left="1134" w:hanging="1134"/>
      <w:outlineLvl w:val="1"/>
    </w:pPr>
    <w:rPr>
      <w:bCs w:val="0"/>
      <w:color w:val="auto"/>
      <w:sz w:val="36"/>
      <w:szCs w:val="26"/>
    </w:rPr>
  </w:style>
  <w:style w:type="paragraph" w:styleId="Heading3">
    <w:name w:val="heading 3"/>
    <w:basedOn w:val="Heading2"/>
    <w:next w:val="Normal"/>
    <w:link w:val="Heading3Char"/>
    <w:uiPriority w:val="6"/>
    <w:qFormat/>
    <w:rsid w:val="003B183A"/>
    <w:pPr>
      <w:numPr>
        <w:ilvl w:val="2"/>
      </w:numPr>
      <w:spacing w:before="240"/>
      <w:ind w:left="1134" w:hanging="1134"/>
      <w:outlineLvl w:val="2"/>
    </w:pPr>
    <w:rPr>
      <w:bCs/>
      <w:sz w:val="32"/>
    </w:rPr>
  </w:style>
  <w:style w:type="paragraph" w:styleId="Heading4">
    <w:name w:val="heading 4"/>
    <w:basedOn w:val="Heading3"/>
    <w:next w:val="Normal"/>
    <w:link w:val="Heading4Char"/>
    <w:uiPriority w:val="6"/>
    <w:qFormat/>
    <w:rsid w:val="003B183A"/>
    <w:pPr>
      <w:numPr>
        <w:ilvl w:val="3"/>
      </w:numPr>
      <w:ind w:left="1134" w:hanging="1134"/>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24272A"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24272A"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after="0"/>
    </w:pPr>
    <w:rPr>
      <w:b/>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99"/>
    <w:rsid w:val="00B96702"/>
    <w:pPr>
      <w:spacing w:before="60" w:after="0"/>
    </w:pPr>
    <w:rPr>
      <w:sz w:val="16"/>
    </w:rPr>
  </w:style>
  <w:style w:type="character" w:customStyle="1" w:styleId="FooterChar">
    <w:name w:val="Footer Char"/>
    <w:basedOn w:val="DefaultParagraphFont"/>
    <w:link w:val="Footer"/>
    <w:uiPriority w:val="99"/>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022408"/>
    <w:rPr>
      <w:rFonts w:eastAsiaTheme="majorEastAsia" w:cstheme="majorBidi"/>
      <w:b/>
      <w:bCs/>
      <w:color w:val="000000" w:themeColor="text1"/>
      <w:sz w:val="40"/>
      <w:szCs w:val="28"/>
    </w:rPr>
  </w:style>
  <w:style w:type="paragraph" w:styleId="TOCHeading">
    <w:name w:val="TOC Heading"/>
    <w:basedOn w:val="Documenttitle"/>
    <w:next w:val="Normal"/>
    <w:uiPriority w:val="2"/>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after="240"/>
      <w:ind w:left="851" w:hanging="851"/>
    </w:pPr>
    <w:rPr>
      <w:b/>
      <w:noProof/>
      <w:sz w:val="28"/>
    </w:rPr>
  </w:style>
  <w:style w:type="character" w:styleId="Hyperlink">
    <w:name w:val="Hyperlink"/>
    <w:basedOn w:val="DefaultParagraphFont"/>
    <w:uiPriority w:val="99"/>
    <w:rsid w:val="002D15D1"/>
    <w:rPr>
      <w:rFonts w:ascii="Arial" w:hAnsi="Arial"/>
      <w:color w:val="009CA6" w:themeColor="accent3"/>
      <w:sz w:val="20"/>
      <w:u w:val="single"/>
    </w:rPr>
  </w:style>
  <w:style w:type="character" w:customStyle="1" w:styleId="Heading2Char">
    <w:name w:val="Heading 2 Char"/>
    <w:basedOn w:val="DefaultParagraphFont"/>
    <w:link w:val="Heading2"/>
    <w:uiPriority w:val="6"/>
    <w:rsid w:val="003B183A"/>
    <w:rPr>
      <w:rFonts w:eastAsiaTheme="majorEastAsia" w:cstheme="majorBidi"/>
      <w:b/>
      <w:sz w:val="36"/>
      <w:szCs w:val="26"/>
    </w:rPr>
  </w:style>
  <w:style w:type="paragraph" w:customStyle="1" w:styleId="Heading1introtext">
    <w:name w:val="Heading 1 intro text"/>
    <w:basedOn w:val="Heading2"/>
    <w:next w:val="Normal"/>
    <w:uiPriority w:val="5"/>
    <w:qFormat/>
    <w:rsid w:val="00697513"/>
    <w:pPr>
      <w:numPr>
        <w:ilvl w:val="0"/>
        <w:numId w:val="0"/>
      </w:numPr>
    </w:pPr>
    <w:rPr>
      <w:b w:val="0"/>
      <w:color w:val="4A4F55"/>
      <w:sz w:val="40"/>
    </w:rPr>
  </w:style>
  <w:style w:type="character" w:customStyle="1" w:styleId="Heading3Char">
    <w:name w:val="Heading 3 Char"/>
    <w:basedOn w:val="DefaultParagraphFont"/>
    <w:link w:val="Heading3"/>
    <w:uiPriority w:val="6"/>
    <w:rsid w:val="003B183A"/>
    <w:rPr>
      <w:rFonts w:eastAsiaTheme="majorEastAsia" w:cstheme="majorBidi"/>
      <w:b/>
      <w:bCs/>
      <w:sz w:val="32"/>
      <w:szCs w:val="26"/>
    </w:rPr>
  </w:style>
  <w:style w:type="character" w:customStyle="1" w:styleId="Heading4Char">
    <w:name w:val="Heading 4 Char"/>
    <w:basedOn w:val="DefaultParagraphFont"/>
    <w:link w:val="Heading4"/>
    <w:uiPriority w:val="6"/>
    <w:rsid w:val="003B183A"/>
    <w:rPr>
      <w:rFonts w:eastAsiaTheme="majorEastAsia" w:cstheme="majorBidi"/>
      <w:b/>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24272A" w:themeColor="accent1" w:themeShade="7F"/>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24272A" w:themeColor="accent1" w:themeShade="7F"/>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semiHidden/>
    <w:qFormat/>
    <w:rsid w:val="002B2173"/>
  </w:style>
  <w:style w:type="paragraph" w:styleId="ListBullet3">
    <w:name w:val="List Bullet 3"/>
    <w:basedOn w:val="Normal"/>
    <w:uiPriority w:val="99"/>
    <w:semiHidden/>
    <w:rsid w:val="00942B4D"/>
    <w:pPr>
      <w:numPr>
        <w:numId w:val="18"/>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9CA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after="24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3B183A"/>
    <w:pPr>
      <w:tabs>
        <w:tab w:val="left" w:pos="1134"/>
      </w:tabs>
      <w:spacing w:before="240" w:after="240"/>
      <w:outlineLvl w:val="2"/>
    </w:pPr>
    <w:rPr>
      <w:rFonts w:eastAsia="Times New Roman" w:cs="Times New Roman"/>
      <w:b/>
      <w:bCs/>
      <w:sz w:val="32"/>
      <w:szCs w:val="24"/>
    </w:rPr>
  </w:style>
  <w:style w:type="paragraph" w:customStyle="1" w:styleId="AppendixHeading4">
    <w:name w:val="Appendix Heading 4"/>
    <w:basedOn w:val="Normal"/>
    <w:uiPriority w:val="25"/>
    <w:qFormat/>
    <w:rsid w:val="003B183A"/>
    <w:pPr>
      <w:spacing w:before="240" w:after="240"/>
      <w:outlineLvl w:val="3"/>
    </w:pPr>
    <w:rPr>
      <w:rFonts w:eastAsia="Times New Roman" w:cs="Times New Roman"/>
      <w:b/>
      <w:sz w:val="28"/>
      <w:szCs w:val="20"/>
    </w:rPr>
  </w:style>
  <w:style w:type="character" w:customStyle="1" w:styleId="font61">
    <w:name w:val="font61"/>
    <w:basedOn w:val="DefaultParagraphFont"/>
    <w:rsid w:val="00491F1C"/>
    <w:rPr>
      <w:rFonts w:ascii="Calibri" w:hAnsi="Calibri" w:cs="Calibri"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QT - Full Colour">
      <a:dk1>
        <a:sysClr val="windowText" lastClr="000000"/>
      </a:dk1>
      <a:lt1>
        <a:sysClr val="window" lastClr="FFFFFF"/>
      </a:lt1>
      <a:dk2>
        <a:srgbClr val="4A4F55"/>
      </a:dk2>
      <a:lt2>
        <a:srgbClr val="A7A9BE"/>
      </a:lt2>
      <a:accent1>
        <a:srgbClr val="4A4F55"/>
      </a:accent1>
      <a:accent2>
        <a:srgbClr val="BE955B"/>
      </a:accent2>
      <a:accent3>
        <a:srgbClr val="009CA6"/>
      </a:accent3>
      <a:accent4>
        <a:srgbClr val="8C4799"/>
      </a:accent4>
      <a:accent5>
        <a:srgbClr val="719949"/>
      </a:accent5>
      <a:accent6>
        <a:srgbClr val="6C1D45"/>
      </a:accent6>
      <a:hlink>
        <a:srgbClr val="009CA6"/>
      </a:hlink>
      <a:folHlink>
        <a:srgbClr val="009CA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2313f21-320d-4b32-babf-82317826f03e" ContentTypeId="0x010100781568B1C4394FA28C28FD40A55844C0" PreviousValue="false" LastSyncTimeStamp="2021-02-23T01:54:41.243Z"/>
</file>

<file path=customXml/item3.xml><?xml version="1.0" encoding="utf-8"?>
<ct:contentTypeSchema xmlns:ct="http://schemas.microsoft.com/office/2006/metadata/contentType" xmlns:ma="http://schemas.microsoft.com/office/2006/metadata/properties/metaAttributes" ct:_="" ma:_="" ma:contentTypeName="QT Document" ma:contentTypeID="0x010100781568B1C4394FA28C28FD40A55844C000A39478B5EBC3214A9E0AF28D35A0746D" ma:contentTypeVersion="37" ma:contentTypeDescription="Queensland Treasury Document" ma:contentTypeScope="" ma:versionID="ba0d144d373bb60be11d0255f59607a5">
  <xsd:schema xmlns:xsd="http://www.w3.org/2001/XMLSchema" xmlns:xs="http://www.w3.org/2001/XMLSchema" xmlns:p="http://schemas.microsoft.com/office/2006/metadata/properties" xmlns:ns1="http://schemas.microsoft.com/sharepoint/v3" xmlns:ns2="1227c05b-0364-427a-85dd-9bb2ccb6cb6a" xmlns:ns3="30a53a10-61f1-4f4a-ad13-29b24e9a2e0b" targetNamespace="http://schemas.microsoft.com/office/2006/metadata/properties" ma:root="true" ma:fieldsID="90e8439a0e379ff451574d0dc2bd6456" ns1:_="" ns2:_="" ns3:_="">
    <xsd:import namespace="http://schemas.microsoft.com/sharepoint/v3"/>
    <xsd:import namespace="1227c05b-0364-427a-85dd-9bb2ccb6cb6a"/>
    <xsd:import namespace="30a53a10-61f1-4f4a-ad13-29b24e9a2e0b"/>
    <xsd:element name="properties">
      <xsd:complexType>
        <xsd:sequence>
          <xsd:element name="documentManagement">
            <xsd:complexType>
              <xsd:all>
                <xsd:element ref="ns2:TaxCatchAll" minOccurs="0"/>
                <xsd:element ref="ns2:TaxCatchAllLabel" minOccurs="0"/>
                <xsd:element ref="ns1:QTSecurityClassificationTaxHTField" minOccurs="0"/>
                <xsd:element ref="ns1:QTRetainTaxHTField" minOccurs="0"/>
                <xsd:element ref="ns1:QTActivityTaxHTField" minOccurs="0"/>
                <xsd:element ref="ns1:QTDocumentDate" minOccurs="0"/>
                <xsd:element ref="ns1:QTDocumentId" minOccurs="0"/>
                <xsd:element ref="ns1:QTBusinessOwner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SecurityClassificationTaxHTField" ma:index="10" ma:taxonomy="true" ma:internalName="QTSecurityClassificationTaxHTField" ma:taxonomyFieldName="QTSecurityClassification" ma:displayName="Security Classification" ma:readOnly="false" ma:default="1;#OFFICIAL|f67802d0-e2d2-455e-bfc4-106d673b036c"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12" ma:taxonomy="true" ma:internalName="QTRetainTaxHTField" ma:taxonomyFieldName="QTRetain" ma:displayName="Retain" ma:readOnly="false" ma:default="7;#Record|2584089d-4b41-46ae-ad46-8a9fb08e05f7"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14" ma:taxonomy="true" ma:internalName="QTActivityTaxHTField" ma:taxonomyFieldName="QTActivity" ma:displayName="Activity" ma:readOnly="false" ma:default="17;#Employee communication|cfece351-32b4-4822-9704-4d2cce1eaace" ma:fieldId="{396fe2d1-c521-434d-ac80-f7463cc6128b}" ma:sspId="a2313f21-320d-4b32-babf-82317826f03e" ma:termSetId="dbefb770-281c-4905-9787-01dec3f74e87" ma:anchorId="00000000-0000-0000-0000-000000000000" ma:open="false" ma:isKeyword="false">
      <xsd:complexType>
        <xsd:sequence>
          <xsd:element ref="pc:Terms" minOccurs="0" maxOccurs="1"/>
        </xsd:sequence>
      </xsd:complexType>
    </xsd:element>
    <xsd:element name="QTDocumentDate" ma:index="16" nillable="true" ma:displayName="Document Date" ma:default="[today]" ma:format="DateOnly" ma:internalName="QTDocumentDate" ma:readOnly="false">
      <xsd:simpleType>
        <xsd:restriction base="dms:DateTime"/>
      </xsd:simpleType>
    </xsd:element>
    <xsd:element name="QTDocumentId" ma:index="17" nillable="true" ma:displayName="Document ID" ma:hidden="true" ma:internalName="QTDocumentId" ma:readOnly="false">
      <xsd:simpleType>
        <xsd:restriction base="dms:Text"/>
      </xsd:simpleType>
    </xsd:element>
    <xsd:element name="QTBusinessOwnerTaxHTField" ma:index="18" nillable="true" ma:taxonomy="true" ma:internalName="QTBusinessOwnerTaxHTField" ma:taxonomyFieldName="QTBusinessOwner" ma:displayName="Business Owner" ma:readOnly="false" ma:default=""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172885e-2bbd-4c10-969e-b9b73e2e2691}" ma:internalName="TaxCatchAll" ma:showField="CatchAllData" ma:web="30a53a10-61f1-4f4a-ad13-29b24e9a2e0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172885e-2bbd-4c10-969e-b9b73e2e2691}" ma:internalName="TaxCatchAllLabel" ma:readOnly="true" ma:showField="CatchAllDataLabel" ma:web="30a53a10-61f1-4f4a-ad13-29b24e9a2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a53a10-61f1-4f4a-ad13-29b24e9a2e0b"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QTDocumentDate xmlns="http://schemas.microsoft.com/sharepoint/v3">2021-10-15T07:09:56+00:00</QTDocumentDate>
    <QTRetainTaxHTField xmlns="http://schemas.microsoft.com/sharepoint/v3">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2584089d-4b41-46ae-ad46-8a9fb08e05f7</TermId>
        </TermInfo>
      </Terms>
    </QTRetainTaxHTField>
    <QTDocumentId xmlns="http://schemas.microsoft.com/sharepoint/v3" xsi:nil="true"/>
    <QTBusinessOwnerTaxHTField xmlns="http://schemas.microsoft.com/sharepoint/v3">
      <Terms xmlns="http://schemas.microsoft.com/office/infopath/2007/PartnerControls">
        <TermInfo xmlns="http://schemas.microsoft.com/office/infopath/2007/PartnerControls">
          <TermName xmlns="http://schemas.microsoft.com/office/infopath/2007/PartnerControls">Accounting Policy and Adv</TermName>
          <TermId xmlns="http://schemas.microsoft.com/office/infopath/2007/PartnerControls">f2b8bc05-29eb-44c2-b32b-acab1fd2c894</TermId>
        </TermInfo>
      </Terms>
    </QTBusinessOwnerTaxHTField>
    <QTActivityTaxHTField xmlns="http://schemas.microsoft.com/sharepoint/v3">
      <Terms xmlns="http://schemas.microsoft.com/office/infopath/2007/PartnerControls">
        <TermInfo xmlns="http://schemas.microsoft.com/office/infopath/2007/PartnerControls">
          <TermName xmlns="http://schemas.microsoft.com/office/infopath/2007/PartnerControls">Fiscal policy advice</TermName>
          <TermId xmlns="http://schemas.microsoft.com/office/infopath/2007/PartnerControls">9c315db2-a42e-475a-9d09-739dd0f35095</TermId>
        </TermInfo>
      </Terms>
    </QTActivityTaxHTField>
    <QT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f67802d0-e2d2-455e-bfc4-106d673b036c</TermId>
        </TermInfo>
      </Terms>
    </QTSecurityClassificationTaxHTField>
    <TaxCatchAll xmlns="1227c05b-0364-427a-85dd-9bb2ccb6cb6a">
      <Value>328</Value>
      <Value>1181</Value>
      <Value>1</Value>
      <Value>7</Value>
    </TaxCatchAll>
    <_dlc_DocId xmlns="30a53a10-61f1-4f4a-ad13-29b24e9a2e0b">YCZTJPN4HNMC-477392339-4973</_dlc_DocId>
    <_dlc_DocIdUrl xmlns="30a53a10-61f1-4f4a-ad13-29b24e9a2e0b">
      <Url>https://treasuryqld.sharepoint.com/sites/O365-Strat-Comms-Team/_layouts/15/DocIdRedir.aspx?ID=YCZTJPN4HNMC-477392339-4973</Url>
      <Description>YCZTJPN4HNMC-477392339-4973</Description>
    </_dlc_DocIdUrl>
  </documentManagement>
</p:properties>
</file>

<file path=customXml/itemProps1.xml><?xml version="1.0" encoding="utf-8"?>
<ds:datastoreItem xmlns:ds="http://schemas.openxmlformats.org/officeDocument/2006/customXml" ds:itemID="{DEDB0CE0-5EB0-4AB9-BE6F-861C6213328C}"/>
</file>

<file path=customXml/itemProps2.xml><?xml version="1.0" encoding="utf-8"?>
<ds:datastoreItem xmlns:ds="http://schemas.openxmlformats.org/officeDocument/2006/customXml" ds:itemID="{A276EC32-CA66-416B-B9B2-66F365AAED9C}"/>
</file>

<file path=customXml/itemProps3.xml><?xml version="1.0" encoding="utf-8"?>
<ds:datastoreItem xmlns:ds="http://schemas.openxmlformats.org/officeDocument/2006/customXml" ds:itemID="{CF96D629-0783-4A5B-A82E-EE0A68FF7BC1}"/>
</file>

<file path=customXml/itemProps4.xml><?xml version="1.0" encoding="utf-8"?>
<ds:datastoreItem xmlns:ds="http://schemas.openxmlformats.org/officeDocument/2006/customXml" ds:itemID="{D234090E-86A0-442B-9664-CB9ACA056FE1}"/>
</file>

<file path=customXml/itemProps5.xml><?xml version="1.0" encoding="utf-8"?>
<ds:datastoreItem xmlns:ds="http://schemas.openxmlformats.org/officeDocument/2006/customXml" ds:itemID="{39E9D8BC-BAE6-4297-A703-8E073D72FABF}"/>
</file>

<file path=docProps/app.xml><?xml version="1.0" encoding="utf-8"?>
<Properties xmlns="http://schemas.openxmlformats.org/officeDocument/2006/extended-properties" xmlns:vt="http://schemas.openxmlformats.org/officeDocument/2006/docPropsVTypes">
  <Template>Normal.dotm</Template>
  <TotalTime>899</TotalTime>
  <Pages>8</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title subheading</dc:subject>
  <dc:creator>Jing Lu</dc:creator>
  <cp:keywords/>
  <dc:description/>
  <cp:lastModifiedBy>Jing Lu</cp:lastModifiedBy>
  <cp:revision>2</cp:revision>
  <cp:lastPrinted>2015-02-08T11:19:00Z</cp:lastPrinted>
  <dcterms:created xsi:type="dcterms:W3CDTF">2018-01-04T23:46:00Z</dcterms:created>
  <dcterms:modified xsi:type="dcterms:W3CDTF">2021-06-11T06:39:00Z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0x010100781568B1C4394FA28C28FD40A55844C000A39478B5EBC3214A9E0AF28D35A0746D</vt:lpwstr>
  </property>
  <property fmtid="{D5CDD505-2E9C-101B-9397-08002B2CF9AE}" pid="3" name="_dlc_DocIdItemGuid">
    <vt:lpwstr>99045eb9-86b4-4612-8d9f-0cb38b3621d8</vt:lpwstr>
  </property>
  <property fmtid="{D5CDD505-2E9C-101B-9397-08002B2CF9AE}" pid="4" name="RecordPoint_WorkflowType">
    <vt:lpwstr>ActiveSubmitStub</vt:lpwstr>
  </property>
  <property fmtid="{D5CDD505-2E9C-101B-9397-08002B2CF9AE}" pid="5" name="RecordPoint_ActiveItemListId">
    <vt:lpwstr>{658df18a-19b2-4478-afa3-63584f6d2cf5}</vt:lpwstr>
  </property>
  <property fmtid="{D5CDD505-2E9C-101B-9397-08002B2CF9AE}" pid="6" name="RecordPoint_ActiveItemUniqueId">
    <vt:lpwstr>{b30252e4-e14a-4a7f-b783-b7644858cbef}</vt:lpwstr>
  </property>
  <property fmtid="{D5CDD505-2E9C-101B-9397-08002B2CF9AE}" pid="7" name="RecordPoint_ActiveItemWebId">
    <vt:lpwstr>{52e6c40a-6920-411b-b9ea-0f679702eba3}</vt:lpwstr>
  </property>
  <property fmtid="{D5CDD505-2E9C-101B-9397-08002B2CF9AE}" pid="8" name="RecordPoint_ActiveItemSiteId">
    <vt:lpwstr>{9c86f5d8-4cfd-4e2c-835f-9a0e38970c46}</vt:lpwstr>
  </property>
  <property fmtid="{D5CDD505-2E9C-101B-9397-08002B2CF9AE}" pid="9" name="RecordPoint_RecordNumberSubmitted">
    <vt:lpwstr>R0002085639</vt:lpwstr>
  </property>
  <property fmtid="{D5CDD505-2E9C-101B-9397-08002B2CF9AE}" pid="10" name="RecordPoint_SubmissionCompleted">
    <vt:lpwstr>2021-06-11T19:12:25.8984248+10:00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MSIP_Label_5b083577-197b-450c-831d-654cf3f56dc2_Enabled">
    <vt:lpwstr>true</vt:lpwstr>
  </property>
  <property fmtid="{D5CDD505-2E9C-101B-9397-08002B2CF9AE}" pid="15" name="MSIP_Label_5b083577-197b-450c-831d-654cf3f56dc2_SetDate">
    <vt:lpwstr>2021-06-11T06:35:30Z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fc8260b7-c6e8-4305-932b-6b1419264a21</vt:lpwstr>
  </property>
  <property fmtid="{D5CDD505-2E9C-101B-9397-08002B2CF9AE}" pid="20" name="MSIP_Label_5b083577-197b-450c-831d-654cf3f56dc2_ContentBits">
    <vt:lpwstr>0</vt:lpwstr>
  </property>
  <property fmtid="{D5CDD505-2E9C-101B-9397-08002B2CF9AE}" pid="21" name="QTSecurityClassification">
    <vt:lpwstr>1;#OFFICIAL|f67802d0-e2d2-455e-bfc4-106d673b036c</vt:lpwstr>
  </property>
  <property fmtid="{D5CDD505-2E9C-101B-9397-08002B2CF9AE}" pid="22" name="QTRetain">
    <vt:lpwstr>7;#Record|2584089d-4b41-46ae-ad46-8a9fb08e05f7</vt:lpwstr>
  </property>
  <property fmtid="{D5CDD505-2E9C-101B-9397-08002B2CF9AE}" pid="23" name="QTBusinessOwner">
    <vt:lpwstr>1181;#Accounting Policy and Adv|f2b8bc05-29eb-44c2-b32b-acab1fd2c894</vt:lpwstr>
  </property>
  <property fmtid="{D5CDD505-2E9C-101B-9397-08002B2CF9AE}" pid="24" name="QTActivity">
    <vt:lpwstr>328;#Fiscal policy advice|9c315db2-a42e-475a-9d09-739dd0f35095</vt:lpwstr>
  </property>
  <property fmtid="{D5CDD505-2E9C-101B-9397-08002B2CF9AE}" pid="26" name="QTEmailID">
    <vt:lpwstr/>
  </property>
  <property fmtid="{D5CDD505-2E9C-101B-9397-08002B2CF9AE}" pid="27" name="QTEmailReplyRecipients">
    <vt:lpwstr/>
  </property>
  <property fmtid="{D5CDD505-2E9C-101B-9397-08002B2CF9AE}" pid="28" name="QTEmailBCC">
    <vt:lpwstr/>
  </property>
  <property fmtid="{D5CDD505-2E9C-101B-9397-08002B2CF9AE}" pid="29" name="QTEmailFrom">
    <vt:lpwstr/>
  </property>
  <property fmtid="{D5CDD505-2E9C-101B-9397-08002B2CF9AE}" pid="30" name="QTEmailAttachmentNames">
    <vt:lpwstr/>
  </property>
  <property fmtid="{D5CDD505-2E9C-101B-9397-08002B2CF9AE}" pid="31" name="QTEmailConversation">
    <vt:lpwstr/>
  </property>
  <property fmtid="{D5CDD505-2E9C-101B-9397-08002B2CF9AE}" pid="32" name="QTEmailReceivedOnBehalfOfName">
    <vt:lpwstr/>
  </property>
  <property fmtid="{D5CDD505-2E9C-101B-9397-08002B2CF9AE}" pid="34" name="DocumentSetDescription">
    <vt:lpwstr/>
  </property>
  <property fmtid="{D5CDD505-2E9C-101B-9397-08002B2CF9AE}" pid="35" name="QTEmailReplyRecipientNames">
    <vt:lpwstr/>
  </property>
  <property fmtid="{D5CDD505-2E9C-101B-9397-08002B2CF9AE}" pid="36" name="QTEmailRetentionPolicyName">
    <vt:lpwstr/>
  </property>
  <property fmtid="{D5CDD505-2E9C-101B-9397-08002B2CF9AE}" pid="37" name="QTEmailToSMTPAddress">
    <vt:lpwstr/>
  </property>
  <property fmtid="{D5CDD505-2E9C-101B-9397-08002B2CF9AE}" pid="38" name="QTEmailCompanies">
    <vt:lpwstr/>
  </property>
  <property fmtid="{D5CDD505-2E9C-101B-9397-08002B2CF9AE}" pid="41" name="QTEmailAttachmentCount">
    <vt:lpwstr/>
  </property>
  <property fmtid="{D5CDD505-2E9C-101B-9397-08002B2CF9AE}" pid="42" name="QTEmailCC">
    <vt:lpwstr/>
  </property>
  <property fmtid="{D5CDD505-2E9C-101B-9397-08002B2CF9AE}" pid="43" name="QTEmailTo">
    <vt:lpwstr/>
  </property>
  <property fmtid="{D5CDD505-2E9C-101B-9397-08002B2CF9AE}" pid="44" name="QTEmailBCCSMTPAddress">
    <vt:lpwstr/>
  </property>
  <property fmtid="{D5CDD505-2E9C-101B-9397-08002B2CF9AE}" pid="45" name="QTEmailBody">
    <vt:lpwstr/>
  </property>
  <property fmtid="{D5CDD505-2E9C-101B-9397-08002B2CF9AE}" pid="47" name="QTEmailConversationID">
    <vt:lpwstr/>
  </property>
  <property fmtid="{D5CDD505-2E9C-101B-9397-08002B2CF9AE}" pid="48" name="QTEmailType">
    <vt:lpwstr/>
  </property>
  <property fmtid="{D5CDD505-2E9C-101B-9397-08002B2CF9AE}" pid="49" name="QTEmailCategory">
    <vt:lpwstr/>
  </property>
  <property fmtid="{D5CDD505-2E9C-101B-9397-08002B2CF9AE}" pid="50" name="QTEmailReceivedByName">
    <vt:lpwstr/>
  </property>
  <property fmtid="{D5CDD505-2E9C-101B-9397-08002B2CF9AE}" pid="51" name="QTEmailSentOnBehalfOfName">
    <vt:lpwstr/>
  </property>
  <property fmtid="{D5CDD505-2E9C-101B-9397-08002B2CF9AE}" pid="53" name="QTEmailFromName">
    <vt:lpwstr/>
  </property>
  <property fmtid="{D5CDD505-2E9C-101B-9397-08002B2CF9AE}" pid="55" name="QTEmailConversationIndex">
    <vt:lpwstr/>
  </property>
  <property fmtid="{D5CDD505-2E9C-101B-9397-08002B2CF9AE}" pid="56" name="QTEmailCCSMTPAddress">
    <vt:lpwstr/>
  </property>
  <property fmtid="{D5CDD505-2E9C-101B-9397-08002B2CF9AE}" pid="57" name="QTEmailFromSMTPAddress">
    <vt:lpwstr/>
  </property>
  <property fmtid="{D5CDD505-2E9C-101B-9397-08002B2CF9AE}" pid="58" name="QTEmailSubject">
    <vt:lpwstr/>
  </property>
  <property fmtid="{D5CDD505-2E9C-101B-9397-08002B2CF9AE}" pid="59" name="QTEmailToAddress">
    <vt:lpwstr/>
  </property>
  <property fmtid="{D5CDD505-2E9C-101B-9397-08002B2CF9AE}" pid="60" name="QTEmailHasAttachments">
    <vt:bool>false</vt:bool>
  </property>
  <property fmtid="{D5CDD505-2E9C-101B-9397-08002B2CF9AE}" pid="61" name="MediaServiceImageTags">
    <vt:lpwstr/>
  </property>
  <property fmtid="{D5CDD505-2E9C-101B-9397-08002B2CF9AE}" pid="62" name="lcf76f155ced4ddcb4097134ff3c332f">
    <vt:lpwstr/>
  </property>
</Properties>
</file>